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United States WBGT Heat Policy Landscape</w:t>
      </w:r>
    </w:p>
    <w:p>
      <w:pPr>
        <w:pStyle w:val="Subtitle"/>
      </w:pPr>
      <w:r>
        <w:t>Current through September 11 2026</w:t>
      </w:r>
    </w:p>
    <w:p>
      <w:pPr>
        <w:spacing w:before="200"/>
      </w:pPr>
      <w:r>
        <w:rPr>
          <w:rFonts w:ascii="Aptos Display" w:hAnsi="Aptos Display"/>
          <w:color w:val="303030"/>
          <w:sz w:val="30"/>
        </w:rPr>
        <w:t>A fifty state and District of Columbia review of mandatory and recommended heat policy for practices and competitions across sports</w:t>
      </w:r>
    </w:p>
    <w:p>
      <w:pPr>
        <w:keepLines w:val="0"/>
      </w:pPr>
      <w:r>
        <w:rPr>
          <w:b/>
        </w:rPr>
        <w:t>Scope</w:t>
      </w:r>
      <w:r/>
    </w:p>
    <w:p>
      <w:pPr>
        <w:keepLines w:val="0"/>
      </w:pPr>
      <w:r>
        <w:t>Statewide interscholastic athletics in the 50 states and District of Columbia. Association rules apply to member schools; laws may have different public or private school coverage. Local policies may be stricter.</w:t>
      </w:r>
    </w:p>
    <w:p>
      <w:pPr>
        <w:keepLines w:val="0"/>
      </w:pPr>
      <w:r>
        <w:rPr>
          <w:b/>
        </w:rPr>
        <w:t>Deliverables</w:t>
      </w:r>
      <w:r/>
    </w:p>
    <w:p>
      <w:pPr>
        <w:keepLines w:val="0"/>
      </w:pPr>
      <w:r>
        <w:t>This report explains the landscape and the companion workbook provides the auditable row-level matrix, organization comparison, coding definitions and source inventory.</w:t>
      </w:r>
    </w:p>
    <w:p>
      <w:pPr>
        <w:keepLines w:val="0"/>
      </w:pPr>
      <w:r>
        <w:rPr>
          <w:b/>
        </w:rPr>
        <w:t>Interpretation note</w:t>
      </w:r>
      <w:r/>
    </w:p>
    <w:p>
      <w:pPr>
        <w:keepLines w:val="0"/>
      </w:pPr>
      <w:r>
        <w:t>Required means a law, regulation, association rule or clearly mandatory operating requirement within its stated scope. Recommended means guidance or a discretionary best practice. A required heat policy is not counted as a required WBGT policy when Heat Index is the required basis or a permitted alternative.</w:t>
      </w:r>
    </w:p>
    <w:p>
      <w:pPr>
        <w:spacing w:before="400"/>
      </w:pPr>
      <w:r>
        <w:rPr>
          <w:i/>
          <w:color w:val="5F5F5F"/>
        </w:rPr>
        <w:t>Prepared as an evidence review rather than legal advice</w:t>
      </w:r>
    </w:p>
    <w:p>
      <w:r>
        <w:br w:type="page"/>
      </w:r>
    </w:p>
    <w:p>
      <w:bookmarkStart w:id="1" w:name="contents"/>
      <w:pPr>
        <w:pStyle w:val="Heading1"/>
      </w:pPr>
      <w:r>
        <w:t>Contents</w:t>
      </w:r>
      <w:bookmarkEnd w:id="1"/>
    </w:p>
    <w:p>
      <w:pPr>
        <w:spacing w:after="60"/>
      </w:pPr>
      <w:hyperlink w:anchor="executive">
        <w:r>
          <w:rPr>
            <w:color w:val="1F4E79"/>
          </w:rPr>
          <w:t>Executive findings</w:t>
        </w:r>
      </w:hyperlink>
    </w:p>
    <w:p>
      <w:pPr>
        <w:spacing w:after="60"/>
      </w:pPr>
      <w:hyperlink w:anchor="reading">
        <w:r>
          <w:rPr>
            <w:color w:val="1F4E79"/>
          </w:rPr>
          <w:t>How to read the landscape</w:t>
        </w:r>
      </w:hyperlink>
    </w:p>
    <w:p>
      <w:pPr>
        <w:spacing w:after="60"/>
      </w:pPr>
      <w:hyperlink w:anchor="practice">
        <w:r>
          <w:rPr>
            <w:color w:val="1F4E79"/>
          </w:rPr>
          <w:t>Practice and competition</w:t>
        </w:r>
      </w:hyperlink>
    </w:p>
    <w:p>
      <w:pPr>
        <w:spacing w:after="60"/>
      </w:pPr>
      <w:hyperlink w:anchor="national">
        <w:r>
          <w:rPr>
            <w:color w:val="1F4E79"/>
          </w:rPr>
          <w:t>National organizations</w:t>
        </w:r>
      </w:hyperlink>
    </w:p>
    <w:p>
      <w:pPr>
        <w:spacing w:after="60"/>
      </w:pPr>
      <w:hyperlink w:anchor="states">
        <w:r>
          <w:rPr>
            <w:color w:val="1F4E79"/>
          </w:rPr>
          <w:t>State landscape</w:t>
        </w:r>
      </w:hyperlink>
    </w:p>
    <w:p>
      <w:pPr>
        <w:spacing w:after="60"/>
      </w:pPr>
      <w:hyperlink w:anchor="sports">
        <w:r>
          <w:rPr>
            <w:color w:val="1F4E79"/>
          </w:rPr>
          <w:t>Application across sports</w:t>
        </w:r>
      </w:hyperlink>
    </w:p>
    <w:p>
      <w:pPr>
        <w:spacing w:after="60"/>
      </w:pPr>
      <w:hyperlink w:anchor="design">
        <w:r>
          <w:rPr>
            <w:color w:val="1F4E79"/>
          </w:rPr>
          <w:t>Policy design and implementation</w:t>
        </w:r>
      </w:hyperlink>
    </w:p>
    <w:p>
      <w:pPr>
        <w:spacing w:after="60"/>
      </w:pPr>
      <w:hyperlink w:anchor="watch">
        <w:r>
          <w:rPr>
            <w:color w:val="1F4E79"/>
          </w:rPr>
          <w:t>Current changes and watch list</w:t>
        </w:r>
      </w:hyperlink>
    </w:p>
    <w:p>
      <w:pPr>
        <w:spacing w:after="60"/>
      </w:pPr>
      <w:hyperlink w:anchor="methods">
        <w:r>
          <w:rPr>
            <w:color w:val="1F4E79"/>
          </w:rPr>
          <w:t>Methods and limitations</w:t>
        </w:r>
      </w:hyperlink>
    </w:p>
    <w:p>
      <w:pPr>
        <w:spacing w:after="60"/>
      </w:pPr>
      <w:hyperlink w:anchor="appendix">
        <w:r>
          <w:rPr>
            <w:color w:val="1F4E79"/>
          </w:rPr>
          <w:t>State audit appendix</w:t>
        </w:r>
      </w:hyperlink>
    </w:p>
    <w:p>
      <w:pPr>
        <w:spacing w:after="60"/>
      </w:pPr>
      <w:hyperlink w:anchor="sources">
        <w:r>
          <w:rPr>
            <w:color w:val="1F4E79"/>
          </w:rPr>
          <w:t>Sources</w:t>
        </w:r>
      </w:hyperlink>
    </w:p>
    <w:p>
      <w:r>
        <w:br w:type="page"/>
      </w:r>
    </w:p>
    <w:p>
      <w:bookmarkStart w:id="2" w:name="executive"/>
      <w:pPr>
        <w:pStyle w:val="Heading1"/>
      </w:pPr>
      <w:r>
        <w:t>Executive findings</w:t>
      </w:r>
      <w:bookmarkEnd w:id="2"/>
    </w:p>
    <w:p>
      <w:pPr>
        <w:keepLines w:val="0"/>
      </w:pPr>
      <w:r>
        <w:t>The United States does not have one WBGT policy landscape. It has overlapping state laws, state association membership rules, national guidance, sport-specific playing rules and local school policies. The single most important finding is that practice and game coverage must be coded separately.</w:t>
      </w:r>
    </w:p>
    <w:p>
      <w:pPr>
        <w:keepLines/>
        <w:spacing w:after="60"/>
        <w:ind w:left="317" w:hanging="317"/>
      </w:pPr>
      <w:r>
        <w:t xml:space="preserve">1.  </w:t>
      </w:r>
      <w:r>
        <w:rPr>
          <w:b/>
        </w:rPr>
        <w:t xml:space="preserve">Practice mandates are materially more common than game mandates. </w:t>
      </w:r>
      <w:r>
        <w:t>This review codes 20 of 51 jurisdictions as having mandatory WBGT use or WBGT-triggered action for practices, compared with 12 for competitions. These are analytic counts based on current operative language, not a claim that every school in each jurisdiction is covered identically.</w:t>
      </w:r>
    </w:p>
    <w:p>
      <w:pPr>
        <w:keepLines/>
        <w:spacing w:after="60"/>
        <w:ind w:left="317" w:hanging="317"/>
      </w:pPr>
      <w:r>
        <w:t xml:space="preserve">2.  </w:t>
      </w:r>
      <w:r>
        <w:rPr>
          <w:b/>
        </w:rPr>
        <w:t xml:space="preserve">Heat policy and WBGT policy are different variables. </w:t>
      </w:r>
      <w:r>
        <w:t>Another 4 jurisdictions require environmental monitoring for practice while allowing Heat Index or making WBGT the preferred option, and 6 have required statewide heat controls without a statewide WBGT mandate located. Counting all of those as mandatory WBGT states would be wrong.</w:t>
      </w:r>
    </w:p>
    <w:p>
      <w:pPr>
        <w:keepLines/>
        <w:spacing w:after="60"/>
        <w:ind w:left="317" w:hanging="317"/>
      </w:pPr>
      <w:r>
        <w:t xml:space="preserve">3.  </w:t>
      </w:r>
      <w:r>
        <w:rPr>
          <w:b/>
        </w:rPr>
        <w:t xml:space="preserve">The game-time gap is deliberate in several policies. </w:t>
      </w:r>
      <w:r>
        <w:t>Texas now requires WBGT during all covered outdoor practices but states that practice restrictions do not apply to competition. Hawaii expressly limits its framework to practices and scrimmages. Arkansas treats benefit games as contests outside its practice requirement. North Carolina, by contrast, uses a different response at the same high WBGT reading: suspend practice while allowing competition only with mandatory water breaks.</w:t>
      </w:r>
    </w:p>
    <w:p>
      <w:pPr>
        <w:keepLines/>
        <w:spacing w:after="60"/>
        <w:ind w:left="317" w:hanging="317"/>
      </w:pPr>
      <w:r>
        <w:t xml:space="preserve">4.  </w:t>
      </w:r>
      <w:r>
        <w:rPr>
          <w:b/>
        </w:rPr>
        <w:t xml:space="preserve">All-sport language is common among stronger policies. </w:t>
      </w:r>
      <w:r>
        <w:t>California, Florida, Illinois, Iowa, Louisiana, Massachusetts, New Jersey, North Carolina, South Carolina and Virginia reach beyond football. Football often receives the most detailed equipment rules, but that does not make the underlying policy football-only.</w:t>
      </w:r>
    </w:p>
    <w:p>
      <w:pPr>
        <w:keepLines/>
        <w:spacing w:after="60"/>
        <w:ind w:left="317" w:hanging="317"/>
      </w:pPr>
      <w:r>
        <w:t xml:space="preserve">5.  </w:t>
      </w:r>
      <w:r>
        <w:rPr>
          <w:b/>
        </w:rPr>
        <w:t xml:space="preserve">National bodies do not create a uniform floor. </w:t>
      </w:r>
      <w:r>
        <w:t>NFHS recommends WBGT-centered planning but leaves binding adoption to states. The NCAA sports-medicine handbook recommends institutional heat plans and environmental monitoring but contains no universal WBGT mandate. NCAA soccer is a notable exception at the playing-rule level, requiring hydration breaks at a specified WBGT threshold.</w:t>
      </w:r>
    </w:p>
    <w:p>
      <w:pPr>
        <w:keepLines/>
        <w:spacing w:after="60"/>
        <w:ind w:left="317" w:hanging="317"/>
      </w:pPr>
      <w:r>
        <w:t xml:space="preserve">6.  </w:t>
      </w:r>
      <w:r>
        <w:rPr>
          <w:b/>
        </w:rPr>
        <w:t xml:space="preserve">The landscape changed again in 2026. </w:t>
      </w:r>
      <w:r>
        <w:t>Texas, Mississippi, Arizona and Virginia have new or newly operative requirements; California enacted an annual-review requirement beginning in 2027. Static vendor lists and older scorecards already miss some of these changes.</w:t>
      </w:r>
    </w:p>
    <w:p>
      <w:pPr>
        <w:pStyle w:val="Heading2"/>
      </w:pPr>
      <w:r>
        <w:t>Bottom line</w:t>
      </w:r>
    </w:p>
    <w:p>
      <w:pPr>
        <w:keepLines w:val="0"/>
      </w:pPr>
      <w:r>
        <w:t>For compliance or surveillance, never ask only whether a state uses WBGT. Ask who is bound, which activities are covered, whether WBGT is exclusive or optional, who takes the reading, how often it is taken, which regional table applies, what action is mandatory, and whether the rule is different for practices and competitions.</w:t>
      </w:r>
    </w:p>
    <w:p>
      <w:bookmarkStart w:id="3" w:name="reading"/>
      <w:pPr>
        <w:pStyle w:val="Heading1"/>
      </w:pPr>
      <w:r>
        <w:t>How to read the landscape</w:t>
      </w:r>
      <w:bookmarkEnd w:id="3"/>
    </w:p>
    <w:p>
      <w:pPr>
        <w:pStyle w:val="Heading2"/>
      </w:pPr>
      <w:r>
        <w:t>What WBGT adds</w:t>
      </w:r>
    </w:p>
    <w:p>
      <w:pPr>
        <w:keepLines w:val="0"/>
      </w:pPr>
      <w:r>
        <w:t>Wet Bulb Globe Temperature combines air temperature, humidity, radiant heat and wind into an estimate of environmental heat stress. Heat Index generally represents shaded conditions and does not directly capture solar load or site-specific wind. For outdoor athletics, that difference can be operationally important on artificial turf, in full sun or at low-wind venues. Forecast or gridded WBGT can support planning, but an on-site instrument is better suited to a real-time participation decision because conditions can vary across the same campus. [1] [7]</w:t>
      </w:r>
    </w:p>
    <w:p>
      <w:pPr>
        <w:keepLines w:val="0"/>
      </w:pPr>
      <w:r>
        <w:t>WBGT is not a medical diagnosis and one number does not capture every athlete's risk. Clothing and protective equipment, workload, acclimatization, sleep, illness, medications, body size and individual susceptibility all matter. A policy therefore needs both environmental thresholds and clinical emergency readiness.</w:t>
      </w:r>
    </w:p>
    <w:p>
      <w:pPr>
        <w:pStyle w:val="Heading2"/>
      </w:pPr>
      <w:r>
        <w:t>Authority types</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1944"/>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Authority</w:t>
            </w:r>
          </w:p>
        </w:tc>
        <w:tc>
          <w:tcPr>
            <w:tcW w:type="dxa" w:w="324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Meaning</w:t>
            </w:r>
          </w:p>
        </w:tc>
        <w:tc>
          <w:tcPr>
            <w:tcW w:type="dxa" w:w="3672"/>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Example</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State law or regulation</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Binding on the schools and activities within statutory coverage</w:t>
            </w:r>
          </w:p>
        </w:tc>
        <w:tc>
          <w:tcPr>
            <w:tcW w:type="dxa" w:w="36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Virginia and New Jersey expressly require practice and game procedures</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State association rule</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Binding through membership and participation rules</w:t>
            </w:r>
          </w:p>
        </w:tc>
        <w:tc>
          <w:tcPr>
            <w:tcW w:type="dxa" w:w="36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Florida, Iowa and South Carolina</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Playing rule</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Binding within the sport or competition governed by the rule</w:t>
            </w:r>
          </w:p>
        </w:tc>
        <w:tc>
          <w:tcPr>
            <w:tcW w:type="dxa" w:w="36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NCAA soccer hydration breaks</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Guidance or position statement</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Recommended unless incorporated into another rule</w:t>
            </w:r>
          </w:p>
        </w:tc>
        <w:tc>
          <w:tcPr>
            <w:tcW w:type="dxa" w:w="36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NFHS, U S Soccer and USA Football</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Local policy</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Can be stricter but does not establish statewide coverage</w:t>
            </w:r>
          </w:p>
        </w:tc>
        <w:tc>
          <w:tcPr>
            <w:tcW w:type="dxa" w:w="36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District-level heat plans in otherwise unmandated states</w:t>
            </w:r>
          </w:p>
        </w:tc>
      </w:tr>
    </w:tbl>
    <w:p>
      <w:pPr>
        <w:spacing w:after="0"/>
      </w:pPr>
    </w:p>
    <w:p>
      <w:pPr>
        <w:pStyle w:val="Heading2"/>
      </w:pPr>
      <w:r>
        <w:t>Coding framework</w:t>
      </w:r>
    </w:p>
    <w:tbl>
      <w:tblPr>
        <w:tblW w:type="auto" w:w="0"/>
        <w:jc w:val="center"/>
        <w:tblLayout w:type="fixed"/>
        <w:tblLook w:firstColumn="1" w:firstRow="1" w:lastColumn="0" w:lastRow="0" w:noHBand="0" w:noVBand="1" w:val="04A0"/>
      </w:tblPr>
      <w:tblGrid>
        <w:gridCol w:w="5083"/>
        <w:gridCol w:w="5083"/>
      </w:tblGrid>
      <w:tr>
        <w:trPr>
          <w:tblHeader w:val="true"/>
          <w:cantSplit/>
        </w:trPr>
        <w:tc>
          <w:tcPr>
            <w:tcW w:type="dxa" w:w="144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Code</w:t>
            </w:r>
          </w:p>
        </w:tc>
        <w:tc>
          <w:tcPr>
            <w:tcW w:type="dxa" w:w="741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Interpretation</w:t>
            </w:r>
          </w:p>
        </w:tc>
      </w:tr>
      <w:tr>
        <w:trPr>
          <w:cantSplit/>
          <w:trHeight w:hRule="atLeast"/>
        </w:trPr>
        <w:tc>
          <w:tcPr>
            <w:tcW w:type="dxa" w:w="14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R WBGT</w:t>
            </w:r>
          </w:p>
        </w:tc>
        <w:tc>
          <w:tcPr>
            <w:tcW w:type="dxa" w:w="741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WBGT measurement or WBGT-triggered action is mandatory within the stated scope</w:t>
            </w:r>
          </w:p>
        </w:tc>
      </w:tr>
      <w:tr>
        <w:trPr>
          <w:cantSplit/>
          <w:trHeight w:hRule="atLeast"/>
        </w:trPr>
        <w:tc>
          <w:tcPr>
            <w:tcW w:type="dxa" w:w="14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R ENV</w:t>
            </w:r>
          </w:p>
        </w:tc>
        <w:tc>
          <w:tcPr>
            <w:tcW w:type="dxa" w:w="741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Environmental heat monitoring is mandatory, but WBGT is preferred or permitted alongside Heat Index</w:t>
            </w:r>
          </w:p>
        </w:tc>
      </w:tr>
      <w:tr>
        <w:trPr>
          <w:cantSplit/>
          <w:trHeight w:hRule="atLeast"/>
        </w:trPr>
        <w:tc>
          <w:tcPr>
            <w:tcW w:type="dxa" w:w="14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R HEAT</w:t>
            </w:r>
          </w:p>
        </w:tc>
        <w:tc>
          <w:tcPr>
            <w:tcW w:type="dxa" w:w="741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A statewide heat policy is mandatory but no statewide WBGT mandate was located</w:t>
            </w:r>
          </w:p>
        </w:tc>
      </w:tr>
      <w:tr>
        <w:trPr>
          <w:cantSplit/>
          <w:trHeight w:hRule="atLeast"/>
        </w:trPr>
        <w:tc>
          <w:tcPr>
            <w:tcW w:type="dxa" w:w="14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LIMITED</w:t>
            </w:r>
          </w:p>
        </w:tc>
        <w:tc>
          <w:tcPr>
            <w:tcW w:type="dxa" w:w="741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Mandatory only for a subset of sports, schools, circumstances, or conditional trigger, or scope is materially unclear</w:t>
            </w:r>
          </w:p>
        </w:tc>
      </w:tr>
      <w:tr>
        <w:trPr>
          <w:cantSplit/>
          <w:trHeight w:hRule="atLeast"/>
        </w:trPr>
        <w:tc>
          <w:tcPr>
            <w:tcW w:type="dxa" w:w="14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REC</w:t>
            </w:r>
          </w:p>
        </w:tc>
        <w:tc>
          <w:tcPr>
            <w:tcW w:type="dxa" w:w="741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WBGT is recommended or provided as guidance rather than mandated</w:t>
            </w:r>
          </w:p>
        </w:tc>
      </w:tr>
      <w:tr>
        <w:trPr>
          <w:cantSplit/>
          <w:trHeight w:hRule="atLeast"/>
        </w:trPr>
        <w:tc>
          <w:tcPr>
            <w:tcW w:type="dxa" w:w="14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NONE</w:t>
            </w:r>
          </w:p>
        </w:tc>
        <w:tc>
          <w:tcPr>
            <w:tcW w:type="dxa" w:w="741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No statewide WBGT mandate located in the reviewed sources</w:t>
            </w:r>
          </w:p>
        </w:tc>
      </w:tr>
    </w:tbl>
    <w:p>
      <w:pPr>
        <w:spacing w:after="0"/>
      </w:pPr>
    </w:p>
    <w:p>
      <w:pPr>
        <w:keepLines w:val="0"/>
      </w:pPr>
      <w:r>
        <w:t>The workbook preserves both the code and the actual operative description. That matters where a document uses soft words such as should alongside mandatory thresholds, where a device is required only after a conditional trigger, or where game rules differ by sport.</w:t>
      </w:r>
    </w:p>
    <w:p>
      <w:bookmarkStart w:id="4" w:name="practice"/>
      <w:pPr>
        <w:pStyle w:val="Heading1"/>
      </w:pPr>
      <w:r>
        <w:t>Practice and competition</w:t>
      </w:r>
      <w:bookmarkEnd w:id="4"/>
    </w:p>
    <w:p>
      <w:pPr>
        <w:pStyle w:val="Heading2"/>
      </w:pPr>
      <w:r>
        <w:t>Why policy often starts with practice</w:t>
      </w:r>
    </w:p>
    <w:p>
      <w:pPr>
        <w:keepLines w:val="0"/>
      </w:pPr>
      <w:r>
        <w:t>Preseason practice concentrates several risks: rapid increases in workload, incomplete heat acclimatization, repeated days of exposure, protective equipment, conditioning after skill work and pressure to finish a planned session. Practices are also easier for a school to reschedule or shorten than contracted contests. For those reasons, many of the earliest and most detailed rules were written around the first 7 to 14 days of football practice. [2] [3] [4]</w:t>
      </w:r>
    </w:p>
    <w:p>
      <w:pPr>
        <w:keepLines w:val="0"/>
      </w:pPr>
      <w:r>
        <w:t>Competition is not automatically safe. Games can combine extreme radiant heat, long warmups, travel, tournament congestion, limited shade and athletes who continue through symptoms. Some sports have regular pauses, substitutions or innings; others, such as soccer, cross country, tennis and ultimate, can impose long continuous or repeated exposures. The evidence base for universal competition cancellation thresholds is thinner than the practice literature, but expert consensus still supports frequent environmental assessment when heat risk is present. A 2021 roundtable noted limited clinical data for competition WBGT monitoring outside road racing while recommending readings no less often than every 30 minutes for practice or competition. [2]</w:t>
      </w:r>
    </w:p>
    <w:p>
      <w:pPr>
        <w:pStyle w:val="Heading2"/>
      </w:pPr>
      <w:r>
        <w:t>Confirmed policy patterns</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2088"/>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5"/>
              </w:rPr>
              <w:t>Pattern</w:t>
            </w:r>
          </w:p>
        </w:tc>
        <w:tc>
          <w:tcPr>
            <w:tcW w:type="dxa" w:w="1872"/>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5"/>
              </w:rPr>
              <w:t>Examples</w:t>
            </w:r>
          </w:p>
        </w:tc>
        <w:tc>
          <w:tcPr>
            <w:tcW w:type="dxa" w:w="489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5"/>
              </w:rPr>
              <w:t>Interpretation</w:t>
            </w:r>
          </w:p>
        </w:tc>
      </w:tr>
      <w:tr>
        <w:trPr>
          <w:cantSplit/>
          <w:trHeight w:hRule="atLeast"/>
        </w:trPr>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Practice required and game required</w:t>
            </w:r>
          </w:p>
        </w:tc>
        <w:tc>
          <w:tcPr>
            <w:tcW w:type="dxa" w:w="18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CA FL IA LA MA NJ NC SC VA plus other state-association systems</w:t>
            </w:r>
          </w:p>
        </w:tc>
        <w:tc>
          <w:tcPr>
            <w:tcW w:type="dxa" w:w="48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Separate competition instructions commonly add timeouts, postponement or cancellation</w:t>
            </w:r>
          </w:p>
        </w:tc>
      </w:tr>
      <w:tr>
        <w:trPr>
          <w:cantSplit/>
          <w:trHeight w:hRule="atLeast"/>
        </w:trPr>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Practice required and game recommended</w:t>
            </w:r>
          </w:p>
        </w:tc>
        <w:tc>
          <w:tcPr>
            <w:tcW w:type="dxa" w:w="18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AR TX VT WV</w:t>
            </w:r>
          </w:p>
        </w:tc>
        <w:tc>
          <w:tcPr>
            <w:tcW w:type="dxa" w:w="48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The practice table cannot be assumed to govern the game</w:t>
            </w:r>
          </w:p>
        </w:tc>
      </w:tr>
      <w:tr>
        <w:trPr>
          <w:cantSplit/>
          <w:trHeight w:hRule="atLeast"/>
        </w:trPr>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Practice all sports and game sport specific</w:t>
            </w:r>
          </w:p>
        </w:tc>
        <w:tc>
          <w:tcPr>
            <w:tcW w:type="dxa" w:w="18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GA</w:t>
            </w:r>
          </w:p>
        </w:tc>
        <w:tc>
          <w:tcPr>
            <w:tcW w:type="dxa" w:w="48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All-sport practice WBGT; confirmed mandatory football game breaks</w:t>
            </w:r>
          </w:p>
        </w:tc>
      </w:tr>
      <w:tr>
        <w:trPr>
          <w:cantSplit/>
          <w:trHeight w:hRule="atLeast"/>
        </w:trPr>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Environmental monitoring required with alternative metric</w:t>
            </w:r>
          </w:p>
        </w:tc>
        <w:tc>
          <w:tcPr>
            <w:tcW w:type="dxa" w:w="18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AL HI NM TN</w:t>
            </w:r>
          </w:p>
        </w:tc>
        <w:tc>
          <w:tcPr>
            <w:tcW w:type="dxa" w:w="48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WBGT may be preferred but Heat Index remains permitted</w:t>
            </w:r>
          </w:p>
        </w:tc>
      </w:tr>
      <w:tr>
        <w:trPr>
          <w:cantSplit/>
          <w:trHeight w:hRule="atLeast"/>
        </w:trPr>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WBGT recommended</w:t>
            </w:r>
          </w:p>
        </w:tc>
        <w:tc>
          <w:tcPr>
            <w:tcW w:type="dxa" w:w="18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KS MO</w:t>
            </w:r>
          </w:p>
        </w:tc>
        <w:tc>
          <w:tcPr>
            <w:tcW w:type="dxa" w:w="48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Local adoption determines whether the guidance becomes mandatory</w:t>
            </w:r>
          </w:p>
        </w:tc>
      </w:tr>
      <w:tr>
        <w:trPr>
          <w:cantSplit/>
          <w:trHeight w:hRule="atLeast"/>
        </w:trPr>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Required heat policy without statewide WBGT mandate</w:t>
            </w:r>
          </w:p>
        </w:tc>
        <w:tc>
          <w:tcPr>
            <w:tcW w:type="dxa" w:w="187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DE NV NY OK OR WA</w:t>
            </w:r>
          </w:p>
        </w:tc>
        <w:tc>
          <w:tcPr>
            <w:tcW w:type="dxa" w:w="48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These should be counted as heat-policy states, not WBGT-mandate states</w:t>
            </w:r>
          </w:p>
        </w:tc>
      </w:tr>
    </w:tbl>
    <w:p>
      <w:pPr>
        <w:spacing w:after="0"/>
      </w:pPr>
    </w:p>
    <w:p>
      <w:pPr>
        <w:pStyle w:val="Heading2"/>
      </w:pPr>
      <w:r>
        <w:t>Operational consequences</w:t>
      </w:r>
    </w:p>
    <w:p>
      <w:pPr>
        <w:pStyle w:val="ListBullet"/>
        <w:keepLines/>
        <w:spacing w:after="60"/>
      </w:pPr>
      <w:r>
        <w:rPr>
          <w:b/>
        </w:rPr>
        <w:t xml:space="preserve">Measurement responsibility </w:t>
      </w:r>
      <w:r>
        <w:t>Practice may assign the athletic trainer or administrator, while game policy may assign the host, contest manager or official. An away team cannot assume its own school has final authority.</w:t>
      </w:r>
    </w:p>
    <w:p>
      <w:pPr>
        <w:pStyle w:val="ListBullet"/>
        <w:keepLines/>
        <w:spacing w:after="60"/>
      </w:pPr>
      <w:r>
        <w:rPr>
          <w:b/>
        </w:rPr>
        <w:t xml:space="preserve">Timing </w:t>
      </w:r>
      <w:r>
        <w:t>A single pregame reading is insufficient where policy requires continued monitoring. Readings typically begin 15 to 30 minutes before activity and recur about every 20 to 30 minutes, but state language varies.</w:t>
      </w:r>
    </w:p>
    <w:p>
      <w:pPr>
        <w:pStyle w:val="ListBullet"/>
        <w:keepLines/>
        <w:spacing w:after="60"/>
      </w:pPr>
      <w:r>
        <w:rPr>
          <w:b/>
        </w:rPr>
        <w:t xml:space="preserve">Threshold crossover </w:t>
      </w:r>
      <w:r>
        <w:t>If conditions rise during play, the response may be mandatory breaks rather than immediate cancellation. The correct action is the competition table, not the practice row at the same WBGT.</w:t>
      </w:r>
    </w:p>
    <w:p>
      <w:pPr>
        <w:pStyle w:val="ListBullet"/>
        <w:keepLines/>
        <w:spacing w:after="60"/>
      </w:pPr>
      <w:r>
        <w:rPr>
          <w:b/>
        </w:rPr>
        <w:t xml:space="preserve">Off-site activity </w:t>
      </w:r>
      <w:r>
        <w:t>Policies should state who brings the device and who records the decision at neutral sites, summer camps, tournaments and non-school venues.</w:t>
      </w:r>
    </w:p>
    <w:p>
      <w:pPr>
        <w:pStyle w:val="ListBullet"/>
        <w:keepLines/>
        <w:spacing w:after="60"/>
      </w:pPr>
      <w:r>
        <w:rPr>
          <w:b/>
        </w:rPr>
        <w:t xml:space="preserve">Fallback methods </w:t>
      </w:r>
      <w:r>
        <w:t>If Heat Index is allowed when a WBGT device fails, the policy needs an explicit fallback table; mixing thresholds from two metrics is unsafe and analytically invalid.</w:t>
      </w:r>
    </w:p>
    <w:p>
      <w:bookmarkStart w:id="5" w:name="national"/>
      <w:pPr>
        <w:pStyle w:val="Heading1"/>
      </w:pPr>
      <w:r>
        <w:t>National organizations</w:t>
      </w:r>
      <w:bookmarkEnd w:id="5"/>
    </w:p>
    <w:p>
      <w:pPr>
        <w:keepLines w:val="0"/>
      </w:pPr>
      <w:r>
        <w:t>National recommendations influence state policy but do not have the same legal or membership force. The table separates organization-wide guidance from sport-specific rules.</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1512"/>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4"/>
              </w:rPr>
              <w:t>Organization</w:t>
            </w:r>
          </w:p>
        </w:tc>
        <w:tc>
          <w:tcPr>
            <w:tcW w:type="dxa" w:w="180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4"/>
              </w:rPr>
              <w:t>Practice</w:t>
            </w:r>
          </w:p>
        </w:tc>
        <w:tc>
          <w:tcPr>
            <w:tcW w:type="dxa" w:w="1944"/>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4"/>
              </w:rPr>
              <w:t>Competition</w:t>
            </w:r>
          </w:p>
        </w:tc>
        <w:tc>
          <w:tcPr>
            <w:tcW w:type="dxa" w:w="309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4"/>
              </w:rPr>
              <w:t>Authority status</w:t>
            </w:r>
          </w:p>
        </w:tc>
        <w:tc>
          <w:tcPr>
            <w:tcW w:type="dxa" w:w="57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4"/>
              </w:rPr>
              <w:t>Source</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NFHS</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Recommended</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Recommended</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Nonbinding national guidance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1</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NCAA overall</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Recommended institutional policy</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Recommended institutional policy</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Guidance unless incorporated by school conference or sport rule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5</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NCAA soccer</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Not addressed by the cited playing rule</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Required</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Binding playing rule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6</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U S Soccer</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Recommended</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Recommended</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Guidance unless adopted by competition organizer</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14</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USA Football</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Recommended</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Defers to applicable rules</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Guidance unless adopted locally</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67</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USA Ultimate</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Organization guidance</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Required for sanctioned-event operations</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Binding safety requirements for sanctioned events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15</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Little League</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Recommended</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Recommended</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Guidance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68</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USA Rugby</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Recommended</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Recommended</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Guidance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69</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NIOSH</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Not a sports rule</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Not a sports rule</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Nonbinding recommended occupational limit unless adopted elsewhere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4"/>
              </w:rPr>
              <w:t>16</w:t>
            </w:r>
          </w:p>
        </w:tc>
      </w:tr>
      <w:tr>
        <w:trPr>
          <w:cantSplit/>
          <w:trHeight w:hRule="atLeast"/>
        </w:trPr>
        <w:tc>
          <w:tcPr>
            <w:tcW w:type="dxa" w:w="15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OSHA</w:t>
            </w:r>
          </w:p>
        </w:tc>
        <w:tc>
          <w:tcPr>
            <w:tcW w:type="dxa" w:w="180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Not a sports participation rule</w:t>
            </w:r>
          </w:p>
        </w:tc>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Not a sports participation rule</w:t>
            </w:r>
          </w:p>
        </w:tc>
        <w:tc>
          <w:tcPr>
            <w:tcW w:type="dxa" w:w="309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Proposed rule not final as of the review date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4"/>
              </w:rPr>
              <w:t>17</w:t>
            </w:r>
          </w:p>
        </w:tc>
      </w:tr>
    </w:tbl>
    <w:p>
      <w:pPr>
        <w:spacing w:after="0"/>
      </w:pPr>
    </w:p>
    <w:p>
      <w:pPr>
        <w:pStyle w:val="Heading2"/>
      </w:pPr>
      <w:r>
        <w:t>NFHS</w:t>
      </w:r>
    </w:p>
    <w:p>
      <w:pPr>
        <w:keepLines w:val="0"/>
      </w:pPr>
      <w:r>
        <w:t>NFHS provides the national high-school position statement and urges state associations to implement regionally appropriate heat-acclimatization and environmental-modification procedures for both practices and competitions. The position statement is influential but not self-executing; a school is bound through state law, association rules or local adoption. [1]</w:t>
      </w:r>
    </w:p>
    <w:p>
      <w:pPr>
        <w:pStyle w:val="Heading2"/>
      </w:pPr>
      <w:r>
        <w:t>NCAA</w:t>
      </w:r>
    </w:p>
    <w:p>
      <w:pPr>
        <w:keepLines w:val="0"/>
      </w:pPr>
      <w:r>
        <w:t>The NCAA sports-medicine handbook recognizes heat illness across almost all sports and recommends institutional policies, environmental monitoring, acclimatization and schedule modification. The current handbook does not use WBGT as a universal participation mandate. That makes broad claims that the NCAA requires WBGT everywhere inaccurate. [5]</w:t>
      </w:r>
    </w:p>
    <w:p>
      <w:pPr>
        <w:keepLines w:val="0"/>
      </w:pPr>
      <w:r>
        <w:t>A sport-specific exception is important: the NCAA soccer playing rule requires host personnel to measure WBGT before and throughout the match and requires hydration breaks at WBGT 86 degrees Fahrenheit or higher. This is a competition rule, not evidence of a universal NCAA WBGT rule. [6]</w:t>
      </w:r>
    </w:p>
    <w:p>
      <w:pPr>
        <w:pStyle w:val="Heading2"/>
      </w:pPr>
      <w:r>
        <w:t>Other national sport bodies</w:t>
      </w:r>
    </w:p>
    <w:p>
      <w:pPr>
        <w:keepLines w:val="0"/>
      </w:pPr>
      <w:r>
        <w:t>U S Soccer recommends a WBGT device or Heat Index pathway for training and match play, with regional thresholds and hydration breaks. USA Football prefers WBGT but defers to state and local requirements. USA Ultimate provides a stronger competition example: its sanctioned-event safety requirements prefer WBGT, allow Heat Index as fallback and cancel play at the top WBGT threshold. Little League and USA Rugby publish heat-safety guidance but the reviewed national materials did not establish a WBGT participation table. [14] [15]</w:t>
      </w:r>
    </w:p>
    <w:p>
      <w:pPr>
        <w:pStyle w:val="Heading2"/>
      </w:pPr>
      <w:r>
        <w:t>Federal workplace context</w:t>
      </w:r>
    </w:p>
    <w:p>
      <w:pPr>
        <w:keepLines w:val="0"/>
      </w:pPr>
      <w:r>
        <w:t>NIOSH publishes WBGT-based recommended occupational exposure limits, which can inform technical design but do not govern student-athlete participation. OSHA's federal heat rule remained proposed as of this review; the public hearing concluded in 2025 and no final nationwide sports WBGT rule was in force. Employment duties for coaches, officials, grounds crews and event staff should be evaluated separately from athlete eligibility. [16] [17]</w:t>
      </w:r>
    </w:p>
    <w:p>
      <w:bookmarkStart w:id="6" w:name="states"/>
      <w:pPr>
        <w:pStyle w:val="Heading1"/>
      </w:pPr>
      <w:r>
        <w:t>State landscape</w:t>
      </w:r>
      <w:bookmarkEnd w:id="6"/>
    </w:p>
    <w:p>
      <w:pPr>
        <w:keepLines w:val="0"/>
      </w:pPr>
      <w:r>
        <w:t>The state matrix covers all 51 jurisdictions. The counts below reflect the primary coding field and should be interpreted with the row-level scope notes. Association rules usually govern member schools; state statutes may have a different public-school or private-school reach.</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468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Policy code</w:t>
            </w:r>
          </w:p>
        </w:tc>
        <w:tc>
          <w:tcPr>
            <w:tcW w:type="dxa" w:w="2088"/>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Practice jurisdictions</w:t>
            </w:r>
          </w:p>
        </w:tc>
        <w:tc>
          <w:tcPr>
            <w:tcW w:type="dxa" w:w="2088"/>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Competition jurisdictions</w:t>
            </w:r>
          </w:p>
        </w:tc>
      </w:tr>
      <w:tr>
        <w:trPr>
          <w:cantSplit/>
          <w:trHeight w:hRule="atLeast"/>
        </w:trPr>
        <w:tc>
          <w:tcPr>
            <w:tcW w:type="dxa" w:w="46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Mandatory WBGT or WBGT-triggered action</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20</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12</w:t>
            </w:r>
          </w:p>
        </w:tc>
      </w:tr>
      <w:tr>
        <w:trPr>
          <w:cantSplit/>
          <w:trHeight w:hRule="atLeast"/>
        </w:trPr>
        <w:tc>
          <w:tcPr>
            <w:tcW w:type="dxa" w:w="46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Required monitoring with WBGT optional</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4</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1</w:t>
            </w:r>
          </w:p>
        </w:tc>
      </w:tr>
      <w:tr>
        <w:trPr>
          <w:cantSplit/>
          <w:trHeight w:hRule="atLeast"/>
        </w:trPr>
        <w:tc>
          <w:tcPr>
            <w:tcW w:type="dxa" w:w="46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Required heat policy without WBGT mandate</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6</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6</w:t>
            </w:r>
          </w:p>
        </w:tc>
      </w:tr>
      <w:tr>
        <w:trPr>
          <w:cantSplit/>
          <w:trHeight w:hRule="atLeast"/>
        </w:trPr>
        <w:tc>
          <w:tcPr>
            <w:tcW w:type="dxa" w:w="46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Limited or conditional</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2</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4</w:t>
            </w:r>
          </w:p>
        </w:tc>
      </w:tr>
      <w:tr>
        <w:trPr>
          <w:cantSplit/>
          <w:trHeight w:hRule="atLeast"/>
        </w:trPr>
        <w:tc>
          <w:tcPr>
            <w:tcW w:type="dxa" w:w="46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WBGT recommended</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3</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7</w:t>
            </w:r>
          </w:p>
        </w:tc>
      </w:tr>
      <w:tr>
        <w:trPr>
          <w:cantSplit/>
          <w:trHeight w:hRule="atLeast"/>
        </w:trPr>
        <w:tc>
          <w:tcPr>
            <w:tcW w:type="dxa" w:w="468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No statewide WBGT mandate located</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16</w:t>
            </w:r>
          </w:p>
        </w:tc>
        <w:tc>
          <w:tcPr>
            <w:tcW w:type="dxa" w:w="208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21</w:t>
            </w:r>
          </w:p>
        </w:tc>
      </w:tr>
    </w:tbl>
    <w:p>
      <w:pPr>
        <w:spacing w:after="0"/>
      </w:pPr>
    </w:p>
    <w:p>
      <w:pPr>
        <w:pStyle w:val="Heading2"/>
      </w:pPr>
      <w:r>
        <w:t>Jurisdictions with strict WBGT coding</w:t>
      </w:r>
    </w:p>
    <w:p>
      <w:pPr>
        <w:keepLines w:val="0"/>
      </w:pPr>
      <w:r>
        <w:t>Practice  AZ, AR, CA, DC, FL, GA, IL, IA, KY, LA, MA, MN, MS, NJ, NC, SC, TX, VT, VA, WV</w:t>
      </w:r>
    </w:p>
    <w:p>
      <w:pPr>
        <w:keepLines w:val="0"/>
      </w:pPr>
      <w:r>
        <w:t>Competition  CA, FL, IL, IA, KY, LA, MA, MN, NJ, NC, SC, VA</w:t>
      </w:r>
    </w:p>
    <w:p>
      <w:pPr>
        <w:keepLines w:val="0"/>
      </w:pPr>
      <w:r>
        <w:t>These lists are intentionally narrower than lists that count every heat policy, every recommendation or every policy that merely mentions WBGT. Kentucky, North Carolina and some other jurisdictions require close reading because mandatory action and measurement wording are not identical across sports.</w:t>
      </w:r>
    </w:p>
    <w:p>
      <w:pPr>
        <w:pStyle w:val="Heading2"/>
      </w:pPr>
      <w:r>
        <w:t>Representative strong practice and game systems</w:t>
      </w:r>
    </w:p>
    <w:p>
      <w:pPr>
        <w:pStyle w:val="ListBullet"/>
        <w:keepLines/>
        <w:spacing w:after="60"/>
      </w:pPr>
      <w:r>
        <w:rPr>
          <w:b/>
        </w:rPr>
        <w:t xml:space="preserve">Virginia </w:t>
      </w:r>
      <w:r>
        <w:t>State law requires school-board policies consistent with WBGT and expressly calls for tiered practice and game procedures, cancellations, equipment restrictions, rest, hydration, shade and cooling. [11]</w:t>
      </w:r>
    </w:p>
    <w:p>
      <w:pPr>
        <w:pStyle w:val="ListBullet"/>
        <w:keepLines/>
        <w:spacing w:after="60"/>
      </w:pPr>
      <w:r>
        <w:rPr>
          <w:b/>
        </w:rPr>
        <w:t xml:space="preserve">New Jersey </w:t>
      </w:r>
      <w:r>
        <w:t>State law requires the association's heat participation policy for practices and games, WBGT equipment, measurement frequency and records. [12]</w:t>
      </w:r>
    </w:p>
    <w:p>
      <w:pPr>
        <w:pStyle w:val="ListBullet"/>
        <w:keepLines/>
        <w:spacing w:after="60"/>
      </w:pPr>
      <w:r>
        <w:rPr>
          <w:b/>
        </w:rPr>
        <w:t xml:space="preserve">Florida </w:t>
      </w:r>
      <w:r>
        <w:t>State law and FHSAA Policy 41 combine all-outdoor-activity monitoring with detailed sport-specific competition procedures. [13]</w:t>
      </w:r>
    </w:p>
    <w:p>
      <w:pPr>
        <w:pStyle w:val="ListBullet"/>
        <w:keepLines/>
        <w:spacing w:after="60"/>
      </w:pPr>
      <w:r>
        <w:rPr>
          <w:b/>
        </w:rPr>
        <w:t xml:space="preserve">California </w:t>
      </w:r>
      <w:r>
        <w:t>CIF uses regional WBGT thresholds for outdoor practices and games. A 2026 statute requires annual review beginning in 2027 and special attention to hotter regions, but it did not itself replace the current threshold table. [10]</w:t>
      </w:r>
    </w:p>
    <w:p>
      <w:pPr>
        <w:pStyle w:val="ListBullet"/>
        <w:keepLines/>
        <w:spacing w:after="60"/>
      </w:pPr>
      <w:r>
        <w:rPr>
          <w:b/>
        </w:rPr>
        <w:t xml:space="preserve">Iowa </w:t>
      </w:r>
      <w:r>
        <w:t>WBGT is required above an ambient trigger across the calendar year, including non-air-conditioned indoor settings, with contest-specific appendices for football, soccer, baseball and softball.</w:t>
      </w:r>
    </w:p>
    <w:p>
      <w:pPr>
        <w:pStyle w:val="ListBullet"/>
        <w:keepLines/>
        <w:spacing w:after="60"/>
      </w:pPr>
      <w:r>
        <w:rPr>
          <w:b/>
        </w:rPr>
        <w:t xml:space="preserve">South Carolina </w:t>
      </w:r>
      <w:r>
        <w:t>On-site WBGT applies to practice and competition across sports with sport-specific contest procedures and top-tier cancellation.</w:t>
      </w:r>
    </w:p>
    <w:p>
      <w:pPr>
        <w:pStyle w:val="Heading2"/>
      </w:pPr>
      <w:r>
        <w:t>Practice centered systems</w:t>
      </w:r>
    </w:p>
    <w:p>
      <w:pPr>
        <w:keepLines w:val="0"/>
      </w:pPr>
      <w:r>
        <w:t>Texas is the clearest current example. Beginning August 1 2026, on-site WBGT is required for covered outdoor practices and marching-band activity, with readings about every 30 minutes. The same official page says practice restrictions do not apply to competitions; game monitoring and modification are recommended, while high-risk contests must have rapid cooling capability. Arkansas, Vermont, West Virginia and Mississippi present different versions of the same practice-centered pattern.</w:t>
      </w:r>
    </w:p>
    <w:p>
      <w:pPr>
        <w:pStyle w:val="Heading2"/>
      </w:pPr>
      <w:r>
        <w:t>Heat policy without mandatory WBGT</w:t>
      </w:r>
    </w:p>
    <w:p>
      <w:pPr>
        <w:keepLines w:val="0"/>
      </w:pPr>
      <w:r>
        <w:t>Alabama, Hawaii, New Mexico and Tennessee require some form of environmental monitoring or heat procedure while retaining a Heat Index alternative. Delaware, Nevada, New York, Oklahoma, Oregon and Washington have statewide heat-policy structures without a statewide WBGT mandate located. These systems may still contain meaningful safety requirements. They simply should not be counted as mandatory WBGT adoption.</w:t>
      </w:r>
    </w:p>
    <w:p>
      <w:pPr>
        <w:pStyle w:val="Heading2"/>
      </w:pPr>
      <w:r>
        <w:t>States without a statewide mandate located</w:t>
      </w:r>
    </w:p>
    <w:p>
      <w:pPr>
        <w:keepLines w:val="0"/>
      </w:pPr>
      <w:r>
        <w:t>Sixteen jurisdictions are coded NONE for practice in the reviewed statewide sources. This does not mean schools take no precautions. District, conference, municipal, camp or venue rules may be stronger; a school may voluntarily use WBGT; and association guidance may exist without an enforceable statewide threshold. The coding answers the narrower statewide-policy question.</w:t>
      </w:r>
    </w:p>
    <w:p>
      <w:bookmarkStart w:id="7" w:name="sports"/>
      <w:pPr>
        <w:pStyle w:val="Heading1"/>
      </w:pPr>
      <w:r>
        <w:t>Application across sports</w:t>
      </w:r>
      <w:bookmarkEnd w:id="7"/>
    </w:p>
    <w:p>
      <w:pPr>
        <w:keepLines w:val="0"/>
      </w:pPr>
      <w:r>
        <w:t>WBGT policy is no longer just a football topic. The best current policies use an all-sport default and then adapt the response to workload, equipment, playing structure and available recovery time.</w:t>
      </w:r>
    </w:p>
    <w:tbl>
      <w:tblPr>
        <w:tblW w:type="auto" w:w="0"/>
        <w:jc w:val="center"/>
        <w:tblLayout w:type="fixed"/>
        <w:tblLook w:firstColumn="1" w:firstRow="1" w:lastColumn="0" w:lastRow="0" w:noHBand="0" w:noVBand="1" w:val="04A0"/>
      </w:tblPr>
      <w:tblGrid>
        <w:gridCol w:w="3389"/>
        <w:gridCol w:w="3389"/>
        <w:gridCol w:w="3389"/>
      </w:tblGrid>
      <w:tr>
        <w:trPr>
          <w:tblHeader w:val="true"/>
          <w:cantSplit/>
        </w:trPr>
        <w:tc>
          <w:tcPr>
            <w:tcW w:type="dxa" w:w="1944"/>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5"/>
              </w:rPr>
              <w:t>Activity</w:t>
            </w:r>
          </w:p>
        </w:tc>
        <w:tc>
          <w:tcPr>
            <w:tcW w:type="dxa" w:w="2952"/>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5"/>
              </w:rPr>
              <w:t>Distinct exposure</w:t>
            </w:r>
          </w:p>
        </w:tc>
        <w:tc>
          <w:tcPr>
            <w:tcW w:type="dxa" w:w="396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5"/>
              </w:rPr>
              <w:t>Policy translation</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Football and lacrosse</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Protective equipment and contact workload</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Remove pads, shorten practice, prohibit conditioning, add quarter breaks</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Soccer and field hockey</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Continuous clock and limited natural stoppages</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Mid-period hydration breaks, substitution flexibility, delay or cancel</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Cross country and track</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Sustained metabolic heat and dispersed course</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Shorten distance, wave starts, added water and medical coverage, cancel top tier</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Baseball and softball</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Intermittent play with radiant exposure and hot surfaces</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Inning hydration breaks, shade for dugouts, postpone or suspend</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Tennis and golf</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Long duration and decentralized athletes</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Extended changeovers, carts or course water, start-time changes, suspension</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Swimming and water polo</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Deck heat and deceptively low perceived heat load</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Shade, deck hydration, warmup limits, air and water monitoring</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Indoor non-air-conditioned sports</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Heat can build without direct sun</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5"/>
              </w:rPr>
              <w:t>Indoor-mode WBGT, ventilation, shortened sessions, relocation</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Marching band and activities</w:t>
            </w:r>
          </w:p>
        </w:tc>
        <w:tc>
          <w:tcPr>
            <w:tcW w:type="dxa" w:w="295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Heavy uniforms, instruments and repeated rehearsal blocks</w:t>
            </w:r>
          </w:p>
        </w:tc>
        <w:tc>
          <w:tcPr>
            <w:tcW w:type="dxa" w:w="396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5"/>
              </w:rPr>
              <w:t>Include only when law or association scope expressly reaches activities</w:t>
            </w:r>
          </w:p>
        </w:tc>
      </w:tr>
    </w:tbl>
    <w:p>
      <w:pPr>
        <w:spacing w:after="0"/>
      </w:pPr>
    </w:p>
    <w:p>
      <w:pPr>
        <w:pStyle w:val="Heading2"/>
      </w:pPr>
      <w:r>
        <w:t>What all sports means</w:t>
      </w:r>
    </w:p>
    <w:p>
      <w:pPr>
        <w:pStyle w:val="ListBullet"/>
        <w:keepLines/>
        <w:spacing w:after="60"/>
      </w:pPr>
      <w:r>
        <w:rPr>
          <w:b/>
        </w:rPr>
        <w:t xml:space="preserve">Association boundary </w:t>
      </w:r>
      <w:r>
        <w:t>All sports generally means all sports sanctioned by that association, not club teams, physical education, municipal recreation or private camps.</w:t>
      </w:r>
    </w:p>
    <w:p>
      <w:pPr>
        <w:pStyle w:val="ListBullet"/>
        <w:keepLines/>
        <w:spacing w:after="60"/>
      </w:pPr>
      <w:r>
        <w:rPr>
          <w:b/>
        </w:rPr>
        <w:t xml:space="preserve">Season boundary </w:t>
      </w:r>
      <w:r>
        <w:t>Some rules apply year-round to conditioning and summer workouts; others operate only in preseason or above an ambient trigger.</w:t>
      </w:r>
    </w:p>
    <w:p>
      <w:pPr>
        <w:pStyle w:val="ListBullet"/>
        <w:keepLines/>
        <w:spacing w:after="60"/>
      </w:pPr>
      <w:r>
        <w:rPr>
          <w:b/>
        </w:rPr>
        <w:t xml:space="preserve">Venue boundary </w:t>
      </w:r>
      <w:r>
        <w:t>Outdoor wording may exclude non-air-conditioned gyms. Iowa expressly reaches indoor settings above the trigger when air conditioning is unavailable.</w:t>
      </w:r>
    </w:p>
    <w:p>
      <w:pPr>
        <w:pStyle w:val="ListBullet"/>
        <w:keepLines/>
        <w:spacing w:after="60"/>
      </w:pPr>
      <w:r>
        <w:rPr>
          <w:b/>
        </w:rPr>
        <w:t xml:space="preserve">Activity boundary </w:t>
      </w:r>
      <w:r>
        <w:t>Marching band is included in Texas and Iowa through explicit activity language. It should not be inferred from athletics-only text elsewhere.</w:t>
      </w:r>
    </w:p>
    <w:p>
      <w:pPr>
        <w:pStyle w:val="ListBullet"/>
        <w:keepLines/>
        <w:spacing w:after="60"/>
      </w:pPr>
      <w:r>
        <w:rPr>
          <w:b/>
        </w:rPr>
        <w:t xml:space="preserve">Sport appendix </w:t>
      </w:r>
      <w:r>
        <w:t>Equipment restrictions can be football-specific inside an all-sport policy. The base monitoring rule may still cover every sport.</w:t>
      </w:r>
    </w:p>
    <w:p>
      <w:bookmarkStart w:id="8" w:name="design"/>
      <w:pPr>
        <w:pStyle w:val="Heading1"/>
      </w:pPr>
      <w:r>
        <w:t>Policy design and implementation</w:t>
      </w:r>
      <w:bookmarkEnd w:id="8"/>
    </w:p>
    <w:p>
      <w:pPr>
        <w:pStyle w:val="Heading2"/>
      </w:pPr>
      <w:r>
        <w:t>Minimum policy architecture</w:t>
      </w:r>
    </w:p>
    <w:p>
      <w:pPr>
        <w:keepLines/>
        <w:spacing w:after="60"/>
        <w:ind w:left="317" w:hanging="317"/>
      </w:pPr>
      <w:r>
        <w:t xml:space="preserve">1.  </w:t>
      </w:r>
      <w:r>
        <w:rPr>
          <w:b/>
        </w:rPr>
        <w:t xml:space="preserve">Define scope </w:t>
      </w:r>
      <w:r>
        <w:t>List practices, conditioning, walk-throughs, scrimmages, contests, tournaments, camps, off-site activity, indoor non-air-conditioned spaces and non-athletic activities.</w:t>
      </w:r>
    </w:p>
    <w:p>
      <w:pPr>
        <w:keepLines/>
        <w:spacing w:after="60"/>
        <w:ind w:left="317" w:hanging="317"/>
      </w:pPr>
      <w:r>
        <w:t xml:space="preserve">2.  </w:t>
      </w:r>
      <w:r>
        <w:rPr>
          <w:b/>
        </w:rPr>
        <w:t xml:space="preserve">Choose a measurement pathway </w:t>
      </w:r>
      <w:r>
        <w:t>Specify on-site WBGT, permitted forecast use for planning, instrument standard, placement, acclimation time, regional category and Heat Index fallback if any.</w:t>
      </w:r>
    </w:p>
    <w:p>
      <w:pPr>
        <w:keepLines/>
        <w:spacing w:after="60"/>
        <w:ind w:left="317" w:hanging="317"/>
      </w:pPr>
      <w:r>
        <w:t xml:space="preserve">3.  </w:t>
      </w:r>
      <w:r>
        <w:rPr>
          <w:b/>
        </w:rPr>
        <w:t xml:space="preserve">Assign decision authority </w:t>
      </w:r>
      <w:r>
        <w:t>Name the practice decision-maker, host contest manager, medical lead and official, and define which decision controls when readings differ.</w:t>
      </w:r>
    </w:p>
    <w:p>
      <w:pPr>
        <w:keepLines/>
        <w:spacing w:after="60"/>
        <w:ind w:left="317" w:hanging="317"/>
      </w:pPr>
      <w:r>
        <w:t xml:space="preserve">4.  </w:t>
      </w:r>
      <w:r>
        <w:rPr>
          <w:b/>
        </w:rPr>
        <w:t xml:space="preserve">Separate practice and competition tables </w:t>
      </w:r>
      <w:r>
        <w:t>Do not silently apply a practice chart to games. State mandatory breaks, postponement, suspension and cancellation for each sport family.</w:t>
      </w:r>
    </w:p>
    <w:p>
      <w:pPr>
        <w:keepLines/>
        <w:spacing w:after="60"/>
        <w:ind w:left="317" w:hanging="317"/>
      </w:pPr>
      <w:r>
        <w:t xml:space="preserve">5.  </w:t>
      </w:r>
      <w:r>
        <w:rPr>
          <w:b/>
        </w:rPr>
        <w:t xml:space="preserve">Set measurement frequency </w:t>
      </w:r>
      <w:r>
        <w:t>A defensible default is a reading before activity and at least every 30 minutes while elevated conditions persist, with shorter intervals when thresholds are approached. [2]</w:t>
      </w:r>
    </w:p>
    <w:p>
      <w:pPr>
        <w:keepLines/>
        <w:spacing w:after="60"/>
        <w:ind w:left="317" w:hanging="317"/>
      </w:pPr>
      <w:r>
        <w:t xml:space="preserve">6.  </w:t>
      </w:r>
      <w:r>
        <w:rPr>
          <w:b/>
        </w:rPr>
        <w:t xml:space="preserve">Pair thresholds with emergency readiness </w:t>
      </w:r>
      <w:r>
        <w:t>Cold-water immersion, cool-first transport, rectal-temperature capability where within medical scope, shade, water and a rehearsed emergency action plan are essential.</w:t>
      </w:r>
    </w:p>
    <w:p>
      <w:pPr>
        <w:keepLines/>
        <w:spacing w:after="60"/>
        <w:ind w:left="317" w:hanging="317"/>
      </w:pPr>
      <w:r>
        <w:t xml:space="preserve">7.  </w:t>
      </w:r>
      <w:r>
        <w:rPr>
          <w:b/>
        </w:rPr>
        <w:t xml:space="preserve">Create an auditable record </w:t>
      </w:r>
      <w:r>
        <w:t>Record time, location, surface, device, reading, regional category, decision, responsible person and any override. Preserve contest communications.</w:t>
      </w:r>
    </w:p>
    <w:p>
      <w:pPr>
        <w:keepLines/>
        <w:spacing w:after="60"/>
        <w:ind w:left="317" w:hanging="317"/>
      </w:pPr>
      <w:r>
        <w:t xml:space="preserve">8.  </w:t>
      </w:r>
      <w:r>
        <w:rPr>
          <w:b/>
        </w:rPr>
        <w:t xml:space="preserve">Train and audit </w:t>
      </w:r>
      <w:r>
        <w:t>Annual training should cover device placement, table selection, symptoms, emergency roles and the difference between recommendation and rule. Spot-audit logs during the hottest weeks.</w:t>
      </w:r>
    </w:p>
    <w:p>
      <w:pPr>
        <w:pStyle w:val="Heading2"/>
      </w:pPr>
      <w:r>
        <w:t>Implementation checklist</w:t>
      </w:r>
    </w:p>
    <w:tbl>
      <w:tblPr>
        <w:tblW w:type="auto" w:w="0"/>
        <w:jc w:val="center"/>
        <w:tblLayout w:type="fixed"/>
        <w:tblLook w:firstColumn="1" w:firstRow="1" w:lastColumn="0" w:lastRow="0" w:noHBand="0" w:noVBand="1" w:val="04A0"/>
      </w:tblPr>
      <w:tblGrid>
        <w:gridCol w:w="5083"/>
        <w:gridCol w:w="5083"/>
      </w:tblGrid>
      <w:tr>
        <w:trPr>
          <w:tblHeader w:val="true"/>
          <w:cantSplit/>
        </w:trPr>
        <w:tc>
          <w:tcPr>
            <w:tcW w:type="dxa" w:w="1944"/>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Stage</w:t>
            </w:r>
          </w:p>
        </w:tc>
        <w:tc>
          <w:tcPr>
            <w:tcW w:type="dxa" w:w="6912"/>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6"/>
              </w:rPr>
              <w:t>Control</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Before season</w:t>
            </w:r>
          </w:p>
        </w:tc>
        <w:tc>
          <w:tcPr>
            <w:tcW w:type="dxa" w:w="69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Validate devices, identify regional thresholds, train staff, rehearse EAP, contract for shade and cooling</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Before each activity</w:t>
            </w:r>
          </w:p>
        </w:tc>
        <w:tc>
          <w:tcPr>
            <w:tcW w:type="dxa" w:w="69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Set device at the actual site, allow stabilization, record first reading, communicate decision owner</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During practice</w:t>
            </w:r>
          </w:p>
        </w:tc>
        <w:tc>
          <w:tcPr>
            <w:tcW w:type="dxa" w:w="69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Repeat readings, follow the highest reached category, document breaks and equipment changes</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Before competition</w:t>
            </w:r>
          </w:p>
        </w:tc>
        <w:tc>
          <w:tcPr>
            <w:tcW w:type="dxa" w:w="69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Use the competition table, confirm host and official roles, brief visiting team and medical staff</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During competition</w:t>
            </w:r>
          </w:p>
        </w:tc>
        <w:tc>
          <w:tcPr>
            <w:tcW w:type="dxa" w:w="69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6"/>
              </w:rPr>
              <w:t>Recheck at stated interval, implement mandatory breaks, record delay or cancellation decision</w:t>
            </w:r>
          </w:p>
        </w:tc>
      </w:tr>
      <w:tr>
        <w:trPr>
          <w:cantSplit/>
          <w:trHeight w:hRule="atLeast"/>
        </w:trPr>
        <w:tc>
          <w:tcPr>
            <w:tcW w:type="dxa" w:w="1944"/>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After activity</w:t>
            </w:r>
          </w:p>
        </w:tc>
        <w:tc>
          <w:tcPr>
            <w:tcW w:type="dxa" w:w="6912"/>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6"/>
              </w:rPr>
              <w:t>Retain log, review symptoms or near misses, replace failed equipment, update local procedures</w:t>
            </w:r>
          </w:p>
        </w:tc>
      </w:tr>
    </w:tbl>
    <w:p>
      <w:pPr>
        <w:spacing w:after="0"/>
      </w:pPr>
    </w:p>
    <w:p>
      <w:pPr>
        <w:pStyle w:val="Heading2"/>
      </w:pPr>
      <w:r>
        <w:t>Recommended data fields</w:t>
      </w:r>
    </w:p>
    <w:p>
      <w:pPr>
        <w:keepLines w:val="0"/>
      </w:pPr>
      <w:r>
        <w:t>For a multi-state surveillance system, the minimum record should include state, governing authority, authority type, covered schools, sport, activity type, mandatory or recommended status, measurement metric, threshold table, regional category, practice rule, competition rule, reading frequency, responsible person, required actions, effective date, source URL, version date, last verification date and confidence. The companion workbook implements that structure.</w:t>
      </w:r>
    </w:p>
    <w:p>
      <w:bookmarkStart w:id="9" w:name="watch"/>
      <w:pPr>
        <w:pStyle w:val="Heading1"/>
      </w:pPr>
      <w:r>
        <w:t>Current changes and watch list</w:t>
      </w:r>
      <w:bookmarkEnd w:id="9"/>
    </w:p>
    <w:p>
      <w:pPr>
        <w:pStyle w:val="ListBullet"/>
        <w:keepLines/>
        <w:spacing w:after="60"/>
      </w:pPr>
      <w:r>
        <w:rPr>
          <w:b/>
        </w:rPr>
        <w:t xml:space="preserve">California </w:t>
      </w:r>
      <w:r>
        <w:t>AB 2503 was signed August 31 2026. It requires annual CIF review beginning July 1 2027 and attention to hotter regions. Monitor the next CIF threshold revision rather than assuming the statute changed today's number. [10]</w:t>
      </w:r>
    </w:p>
    <w:p>
      <w:pPr>
        <w:pStyle w:val="ListBullet"/>
        <w:keepLines/>
        <w:spacing w:after="60"/>
      </w:pPr>
      <w:r>
        <w:rPr>
          <w:b/>
        </w:rPr>
        <w:t xml:space="preserve">Texas </w:t>
      </w:r>
      <w:r>
        <w:t>The statewide UIL practice requirement became effective August 1 2026 and expressly distinguishes competitions.</w:t>
      </w:r>
    </w:p>
    <w:p>
      <w:pPr>
        <w:pStyle w:val="ListBullet"/>
        <w:keepLines/>
        <w:spacing w:after="60"/>
      </w:pPr>
      <w:r>
        <w:rPr>
          <w:b/>
        </w:rPr>
        <w:t xml:space="preserve">Mississippi </w:t>
      </w:r>
      <w:r>
        <w:t>The 2026 implementation notice mandates WBGT for outdoor practices. A separate statewide game rule was not located.</w:t>
      </w:r>
    </w:p>
    <w:p>
      <w:pPr>
        <w:pStyle w:val="ListBullet"/>
        <w:keepLines/>
        <w:spacing w:after="60"/>
      </w:pPr>
      <w:r>
        <w:rPr>
          <w:b/>
        </w:rPr>
        <w:t xml:space="preserve">Arizona </w:t>
      </w:r>
      <w:r>
        <w:t>The 2025-26 association article is newer than several national scorecards and introduces a WBGT-based modification system.</w:t>
      </w:r>
    </w:p>
    <w:p>
      <w:pPr>
        <w:pStyle w:val="ListBullet"/>
        <w:keepLines/>
        <w:spacing w:after="60"/>
      </w:pPr>
      <w:r>
        <w:rPr>
          <w:b/>
        </w:rPr>
        <w:t xml:space="preserve">Virginia </w:t>
      </w:r>
      <w:r>
        <w:t>Current statutory language now expressly reaches outdoor practices and games, superseding older national summaries.</w:t>
      </w:r>
    </w:p>
    <w:p>
      <w:pPr>
        <w:pStyle w:val="ListBullet"/>
        <w:keepLines/>
        <w:spacing w:after="60"/>
      </w:pPr>
      <w:r>
        <w:rPr>
          <w:b/>
        </w:rPr>
        <w:t xml:space="preserve">OSHA </w:t>
      </w:r>
      <w:r>
        <w:t>Federal workplace heat rulemaking remains pending. A final rule could affect employed personnel but should still be analyzed separately from athlete participation. [17]</w:t>
      </w:r>
    </w:p>
    <w:p>
      <w:pPr>
        <w:pStyle w:val="ListBullet"/>
        <w:keepLines/>
        <w:spacing w:after="60"/>
      </w:pPr>
      <w:r>
        <w:rPr>
          <w:b/>
        </w:rPr>
        <w:t xml:space="preserve">Source maintenance </w:t>
      </w:r>
      <w:r>
        <w:t>State handbooks change annually and URLs move. Re-verify every high-confidence operational row before each fall season and flag sources older than 18 months.</w:t>
      </w:r>
    </w:p>
    <w:p>
      <w:pPr>
        <w:pStyle w:val="Heading2"/>
      </w:pPr>
      <w:r>
        <w:t>Common data errors</w:t>
      </w:r>
    </w:p>
    <w:p>
      <w:pPr>
        <w:pStyle w:val="ListBullet"/>
        <w:keepLines/>
        <w:spacing w:after="60"/>
      </w:pPr>
      <w:r>
        <w:t>Counting every state that mentions WBGT as a mandate state</w:t>
      </w:r>
    </w:p>
    <w:p>
      <w:pPr>
        <w:pStyle w:val="ListBullet"/>
        <w:keepLines/>
        <w:spacing w:after="60"/>
      </w:pPr>
      <w:r>
        <w:t>Treating a preferred WBGT option as an exclusive WBGT requirement</w:t>
      </w:r>
    </w:p>
    <w:p>
      <w:pPr>
        <w:pStyle w:val="ListBullet"/>
        <w:keepLines/>
        <w:spacing w:after="60"/>
      </w:pPr>
      <w:r>
        <w:t>Applying a practice threshold to games without explicit authority</w:t>
      </w:r>
    </w:p>
    <w:p>
      <w:pPr>
        <w:pStyle w:val="ListBullet"/>
        <w:keepLines/>
        <w:spacing w:after="60"/>
      </w:pPr>
      <w:r>
        <w:t>Treating football equipment rules as evidence that no other sports are covered</w:t>
      </w:r>
    </w:p>
    <w:p>
      <w:pPr>
        <w:pStyle w:val="ListBullet"/>
        <w:keepLines/>
        <w:spacing w:after="60"/>
      </w:pPr>
      <w:r>
        <w:t>Treating NFHS guidance as binding in every state</w:t>
      </w:r>
    </w:p>
    <w:p>
      <w:pPr>
        <w:pStyle w:val="ListBullet"/>
        <w:keepLines/>
        <w:spacing w:after="60"/>
      </w:pPr>
      <w:r>
        <w:t>Treating one NCAA sport rule as a universal NCAA requirement</w:t>
      </w:r>
    </w:p>
    <w:p>
      <w:pPr>
        <w:pStyle w:val="ListBullet"/>
        <w:keepLines/>
        <w:spacing w:after="60"/>
      </w:pPr>
      <w:r>
        <w:t>Using an older national scorecard without checking new state law or current association handbooks</w:t>
      </w:r>
    </w:p>
    <w:p>
      <w:bookmarkStart w:id="10" w:name="methods"/>
      <w:pPr>
        <w:pStyle w:val="Heading1"/>
      </w:pPr>
      <w:r>
        <w:t>Methods and limitations</w:t>
      </w:r>
      <w:bookmarkEnd w:id="10"/>
    </w:p>
    <w:p>
      <w:pPr>
        <w:pStyle w:val="Heading2"/>
      </w:pPr>
      <w:r>
        <w:t>Research method</w:t>
      </w:r>
    </w:p>
    <w:p>
      <w:pPr>
        <w:keepLines w:val="0"/>
      </w:pPr>
      <w:r>
        <w:t>The review used a source hierarchy of current law and regulation, current state-association handbooks and official policy pages, national governing-body rules, peer-reviewed evidence, expert secondary audits and independent reporting. Primary sources controlled when they conflicted with older scorecards or commercial summaries. The Korey Stringer Institute state audit served as a baseline for breadth and as a source for states where no current primary statewide WBGT mandate was located. [8]</w:t>
      </w:r>
    </w:p>
    <w:p>
      <w:pPr>
        <w:keepLines w:val="0"/>
      </w:pPr>
      <w:r>
        <w:t>Each jurisdiction was coded independently for practice and competition. The review then separated strict mandatory WBGT use, mandatory environmental monitoring with alternatives, required non-WBGT heat policy, limited or conditional requirements, recommendations and no statewide mandate located. The companion workbook contains the full row-level text, current-source link and confidence judgment.</w:t>
      </w:r>
    </w:p>
    <w:p>
      <w:pPr>
        <w:pStyle w:val="Heading2"/>
      </w:pPr>
      <w:r>
        <w:t>Limitations</w:t>
      </w:r>
    </w:p>
    <w:p>
      <w:pPr>
        <w:pStyle w:val="ListBullet"/>
        <w:keepLines/>
        <w:spacing w:after="60"/>
      </w:pPr>
      <w:r>
        <w:t>State-association rules can change between handbook editions, board votes and implementation memos. The review is current through the date on the title page, not permanently current.</w:t>
      </w:r>
    </w:p>
    <w:p>
      <w:pPr>
        <w:pStyle w:val="ListBullet"/>
        <w:keepLines/>
        <w:spacing w:after="60"/>
      </w:pPr>
      <w:r>
        <w:t>Some official PDFs use mixed mandatory and advisory verbs. Those rows are coded conservatively and carry notes rather than a false binary.</w:t>
      </w:r>
    </w:p>
    <w:p>
      <w:pPr>
        <w:pStyle w:val="ListBullet"/>
        <w:keepLines/>
        <w:spacing w:after="60"/>
      </w:pPr>
      <w:r>
        <w:t>Association membership rules do not always cover every public, private, charter, middle or home school in a state.</w:t>
      </w:r>
    </w:p>
    <w:p>
      <w:pPr>
        <w:pStyle w:val="ListBullet"/>
        <w:keepLines/>
        <w:spacing w:after="60"/>
      </w:pPr>
      <w:r>
        <w:t>Local districts and conferences may impose stricter rules than the statewide baseline; this review does not inventory every local policy.</w:t>
      </w:r>
    </w:p>
    <w:p>
      <w:pPr>
        <w:pStyle w:val="ListBullet"/>
        <w:keepLines/>
        <w:spacing w:after="60"/>
      </w:pPr>
      <w:r>
        <w:t>A state can have strong acclimatization, emergency-action and cooling requirements without a WBGT mandate. This report focuses on environmental policy and does not score the entire heat-safety system.</w:t>
      </w:r>
    </w:p>
    <w:p>
      <w:pPr>
        <w:pStyle w:val="ListBullet"/>
        <w:keepLines/>
        <w:spacing w:after="60"/>
      </w:pPr>
      <w:r>
        <w:t>The report does not determine legal liability or replace current counsel, medical direction, official rule books or real-time event authority.</w:t>
      </w:r>
    </w:p>
    <w:p>
      <w:r>
        <w:br w:type="page"/>
      </w:r>
    </w:p>
    <w:p>
      <w:bookmarkStart w:id="11" w:name="appendix"/>
      <w:pPr>
        <w:pStyle w:val="Heading1"/>
      </w:pPr>
      <w:r>
        <w:t>State audit appendix</w:t>
      </w:r>
      <w:bookmarkEnd w:id="11"/>
    </w:p>
    <w:p>
      <w:pPr>
        <w:keepLines w:val="0"/>
      </w:pPr>
      <w:r>
        <w:t>The descriptions below are compressed. Use the companion workbook for authority type, scope, measurement, actions, effective date, confidence and full URL. Source numbers resolve to the numbered list that follows.</w:t>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648"/>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State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Practice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Competition</w:t>
            </w:r>
          </w:p>
        </w:tc>
        <w:tc>
          <w:tcPr>
            <w:tcW w:type="dxa" w:w="324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Scope and interpretation</w:t>
            </w:r>
          </w:p>
        </w:tc>
        <w:tc>
          <w:tcPr>
            <w:tcW w:type="dxa" w:w="57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Source</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Required environmental monitoring for outdoor practice; WBGT is preferred when available, but Heat Index is an allowed basis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broad statewide WBGT contest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sports for practice restrictions. Mandatory heat controls do not equal a mandatory WBGT-only system.</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18</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AK</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policies may apply. Absence here means no statewide mandate located, not no local heat plan.</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19</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AZ</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WBGT-based activity modification policy applies to practices and training activities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Policy references the practice or event site, but a uniform contest cancellation rule was not clearly stated in the reviewed article</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AIA sports and training activities; outdoor workouts barred above the top threshold. Newer than the KSI baseline, which still showed no statewide WBGT policy.</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20</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AR</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WBGT requirements apply to practices and conditioning</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Regular contests are outside the practice requirement; administrators are advised to adjust start times and breaks</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Member-school sports; benefit games are classified as contests. The official FAQ explicitly separates practices from games.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21</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CA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 monitoring and regional modification thresholds are required for outdoor practices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 thresholds apply to outdoor games and contests, including cancellation at the top regional threshold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CIF-sanctioned outdoor sports. AB 2503, signed August 31 2026, requires annual review beginning July 1 2027; it did not itself raise the current threshold.</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22</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CO</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policies may apply. No required statewide heat-modification policy or WBGT basis was scored by KSI.</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23</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CT</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policies may apply. Local school or conference rules can be stricter.</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24</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DE</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 statewide heat policy is required, but no statewide WBGT mandate was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 statewide heat policy applies, but no statewide WBGT contest mandate was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Interscholastic athletics. Confirm the current DIAA manual before operational use.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25</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DC</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DCIAA uses WBGT equipment and a heat-acclimatization protocol for public-school practices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Hydration and heat precautions are described for competition, but a universal DCSAA WBGT contest mandate was not confirmed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DC public-school league; not necessarily every DCSAA member. District-wide coverage is narrower than a rule governing every public and private school.</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26</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FL</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Member schools shall monitor WBGT for all outdoor athletic activities, including practices and workouts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Contest-specific WBGT modifications and cancellation rules are mandatory</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outdoor sports, with sport-specific contest instructions. The policy includes football, golf, cross country, baseball, beach volleyball, flag football, lacrosse, soccer, softball, swimming and diving, tennis, track and field, and water polo.</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27</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GA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On-site WBGT and activity modification are mandatory for practices in all sports year-round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Mandatory WBGT hydration breaks were confirmed for football; no broad all-sport contest mandate was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sports in practice; football-specific game controls. This is a clear example of broader practice coverage than game coverage.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28</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HI</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Mandatory practice acclimatization and heat procedures may use WBGT or Heat Index</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association FAQ expressly distinguishes practices and scrimmages from games because games contain built-in rest</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sports for practices and scrimmages. A mandatory heat policy does not make WBGT the exclusive measurement.</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29</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ID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policies may apply. A vendor list categorizing Idaho as mandatory was not supported by the primary-source review.</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30</w:t>
            </w:r>
          </w:p>
        </w:tc>
      </w:tr>
    </w:tbl>
    <w:p>
      <w:pPr>
        <w:spacing w:after="0"/>
      </w:pPr>
    </w:p>
    <w:p>
      <w:r>
        <w:br w:type="page"/>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648"/>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State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Practice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Competition</w:t>
            </w:r>
          </w:p>
        </w:tc>
        <w:tc>
          <w:tcPr>
            <w:tcW w:type="dxa" w:w="324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Scope and interpretation</w:t>
            </w:r>
          </w:p>
        </w:tc>
        <w:tc>
          <w:tcPr>
            <w:tcW w:type="dxa" w:w="57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Source</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IL</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Member-school requirements call for on-site WBGT monitoring and activity modifications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 requirements and modifications apply to competitions and IHSA state-series events</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Outdoor and non-air-conditioned athletic activities. The current policy compilation uses some advisory wording, while the member-school mailing calls these requirements.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31</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IN</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policies may apply. Heat-safety recommendations may still exist without a statewide WBGT mandate.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32</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IA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 use is required year-round above 80 degrees in outdoor or non-air-conditioned settings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The policy applies to contests and includes sport-specific breaks, delays and cancellation</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school sports and activities covered by the four associations. Current sport manuals explicitly say WBGT use is required even though the policy also calls WBGT the recommended measurement practice.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33</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KS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WBGT is recommended for practices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WBGT-based modifications are recommended for competition</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outdoor activities. The document is guidance, not a statewide WBGT mandate.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34</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KY</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WBGT-triggered heat procedures apply to practices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WBGT-based competition modifications and cancellations apply; measurement is expressly mandatory for football and strongly recommended for some other sports</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sports with sport-specific competition provisions. Do not summarize this simply as an identical measurement rule for every sport.</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35</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WBGT is required for outdoor practices and non-climate-controlled activities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WBGT is required before contests and activity must be modified or terminated by threshold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sports and school athletic activity within the rule. This is a legal mandate, not merely association advice.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36</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ME</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policies may apply. No required statewide heat-modification or WBGT policy was located.</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37</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school-system policies may apply. Several Maryland districts have local heat rules; this row addresses statewide policy only.</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38</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Scientifically approved WBGT measurement and activity modification are mandatory</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 thresholds apply to competitions, including no outdoor games above the top threshold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MIAA sports. All-sport scope; some restrictions are naturally equipment-specific.</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39</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MI</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policies may apply. No statewide WBGT requirement was located in the reviewed materials.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40</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MN</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League heat policy uses WBGT-based modification and cancellation for practices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League guidance indicates practices and games are cancelled above the top WBGT threshold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member-school athletics. Current MSHSL policy text should be checked at implementation because the direct league PDF moved during review.</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41</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WBGT monitoring and activity modification are mandatory for outdoor practices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broad statewide WBGT contest mandate was located in the 2026 implementation notice</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outdoor sports practices. The official notice repeatedly specifies practice; do not extend it to games without a separate rule.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42</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MO</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 is recommended for practices and voluntary workouts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WBGT tables include competition delay and cancellation guidance, but policy adoption remains local</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sports; local districts control policy. State association guidance is not a universal statewide mandate.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43</w:t>
            </w:r>
          </w:p>
        </w:tc>
      </w:tr>
    </w:tbl>
    <w:p>
      <w:pPr>
        <w:spacing w:after="0"/>
      </w:pPr>
    </w:p>
    <w:p>
      <w:r>
        <w:br w:type="page"/>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648"/>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State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Practice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Competition</w:t>
            </w:r>
          </w:p>
        </w:tc>
        <w:tc>
          <w:tcPr>
            <w:tcW w:type="dxa" w:w="324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Scope and interpretation</w:t>
            </w:r>
          </w:p>
        </w:tc>
        <w:tc>
          <w:tcPr>
            <w:tcW w:type="dxa" w:w="57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Source</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MT</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policies may apply. Local wildfire and heat procedures may still affect events.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44</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NE</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policies may apply. No required statewide WBGT policy was located.</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45</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NV</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Statewide heat procedures are required but are not WBGT-based in the KSI audit</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Heat procedures apply without a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Interscholastic athletics. A vendor classification labeling Nevada as mandatory WBGT was not supported by this review.</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46</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NH</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heat policy applies to practices and says scientifically approved WBGT should be used during the warm-season window</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Competition officials and administrators may modify events based on WBGT, but the reviewed language is discretionary</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sports; practice window and competition guidance differ. The KSI score treats New Hampshire as WBGT-based, but operative verbs remain important.</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47</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NJ</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Schools must obtain WBGT equipment and follow the NJSIAA heat participation policy for practice</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The statutory policy covers games and requires measurement records and tiered procedures</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interscholastic sports under the law and NJSIAA policy. One of the clearest statutory practice-and-game mandates.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12</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NM</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Heat-illness protocol requires environmental assessment but permits WBGT and Heat Index pathways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reviewed update did not establish a clear universal WBGT-only contest requirement</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association activities within the protocol. Classify as mandatory heat monitoring, not mandatory WBGT-only use.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48</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NY</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Mandatory heat procedures use Heat Index rather than a statewide WBGT requirement</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Heat Index-based contest modification and suspension procedures apply</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Member-school athletics. New York has heat rules; it should not be counted as a WBGT-mandate state.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49</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NC</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handbook says WBGT should be measured for all sports at risk and makes practice modifications and suspension mandatory</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At 90 WBGT or above, contests may continue only with mandatory water breaks directed by the gameday administrator</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sports. The practice suspension threshold and the contest response intentionally differ.</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50</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policies may apply. No required statewide WBGT policy was located.</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51</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OH</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policies may apply. A commercial online list calling Ohio a WBGT-mandate state was not supported by the reviewed authoritative sources.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52</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OK</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Mandatory heat procedures use Heat Index rather than a statewide WBGT requirement</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Heat procedures apply without a statewide WBGT contest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Member-school athletics. Treat heat-policy coverage and WBGT measurement as separate variables.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53</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OR</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Required heat procedures are based on Heat Index, not a statewide WBGT mandate</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Heat-related contest procedures apply without a statewide WBGT requirement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Member-school athletics. OSAA provides an online Heat Index tool; that is not equivalent to WBGT.</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54</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PA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district policies may apply. No statewide WBGT mandate was scored in the KSI audit.</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55</w:t>
            </w:r>
          </w:p>
        </w:tc>
      </w:tr>
    </w:tbl>
    <w:p>
      <w:pPr>
        <w:spacing w:after="0"/>
      </w:pPr>
    </w:p>
    <w:p>
      <w:r>
        <w:br w:type="page"/>
      </w:r>
    </w:p>
    <w:tbl>
      <w:tblPr>
        <w:tblW w:type="auto" w:w="0"/>
        <w:jc w:val="center"/>
        <w:tblLayout w:type="fixed"/>
        <w:tblLook w:firstColumn="1" w:firstRow="1" w:lastColumn="0" w:lastRow="0" w:noHBand="0" w:noVBand="1" w:val="04A0"/>
      </w:tblPr>
      <w:tblGrid>
        <w:gridCol w:w="2033"/>
        <w:gridCol w:w="2033"/>
        <w:gridCol w:w="2033"/>
        <w:gridCol w:w="2033"/>
        <w:gridCol w:w="2033"/>
      </w:tblGrid>
      <w:tr>
        <w:trPr>
          <w:tblHeader w:val="true"/>
          <w:cantSplit/>
        </w:trPr>
        <w:tc>
          <w:tcPr>
            <w:tcW w:type="dxa" w:w="648"/>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State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Practice</w:t>
            </w:r>
          </w:p>
        </w:tc>
        <w:tc>
          <w:tcPr>
            <w:tcW w:type="dxa" w:w="2333"/>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Competition</w:t>
            </w:r>
          </w:p>
        </w:tc>
        <w:tc>
          <w:tcPr>
            <w:tcW w:type="dxa" w:w="3240"/>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Scope and interpretation</w:t>
            </w:r>
          </w:p>
        </w:tc>
        <w:tc>
          <w:tcPr>
            <w:tcW w:type="dxa" w:w="576"/>
            <w:shd w:fill="D9E2F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center"/>
          </w:tcPr>
          <w:p>
            <w:pPr>
              <w:spacing w:after="0"/>
            </w:pPr>
            <w:r>
              <w:rPr>
                <w:rFonts w:ascii="Aptos" w:hAnsi="Aptos"/>
                <w:b/>
                <w:color w:val="1F2D3D"/>
                <w:sz w:val="13"/>
              </w:rPr>
              <w:t>Source</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RI</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 scientifically approved WBGT instrument must be used at each practice when conditions are within 5 to 10 degrees of the green threshold; a Heat Index fallback is allowed if no device is available</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broad statewide WBGT contest requirement was located in the reviewed rule section</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RIIL member-school practices. A conditional mandate with fallback should not be counted as unconditional WBGT-only use.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56</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SC</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On-site WBGT monitoring and activity modifications are required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policy applies to practice and competition with sport-specific contest rules and cancellation above the top threshold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SCHSL sports. All-sport policy with tailored contest provisions.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57</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SD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policies may apply. No required statewide heat-modification or WBGT policy was located.</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58</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TN</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Schools must obtain an environmental measure; WBGT is the first choice but Heat Index is allowed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policy addresses competitions and requires postponement at the top threshold unless specified emergency controls are available</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member-school athletic practices and competitions. Mandatory monitoring is broader than a WBGT-only mandate.</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59</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TX</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Starting August 1 2026, WBGT is required for all outdoor UIL practices, workouts and marching-band activity</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The practice restrictions do not apply to competitions; monitoring and modification are recommended, with required rapid-cooling capability at high-risk contests</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outdoor UIL sports and marching band for practice requirements. The official page expressly rejects treating practice limits as game rules.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60</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UT</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Mandatory acclimatization exists, but no statewide WBGT measurement mandate or threshold system was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contest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student-athletes for acclimatization; local heat plans may be stricter. Heat acclimatization is mandatory, but it is analytically distinct from WBGT-triggered modification.</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61</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VT</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Member schools must monitor environmental heat and use on-site WBGT under the regional-category pathway</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Competition modifications are recommended rather than expressed as a uniform mandatory WBGT rule</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All member-school sports; practice provisions are clearest. The operative verbs differ between practice and competition sections.</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62</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VA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school-board policies must be consistent with WBGT and contain tiered practice procedures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statute expressly requires tiered game procedures, including cancellation and modification</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Outdoor athletic practices and games governed by covered school boards. Statutory practice-and-game language is explicit.</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11</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WA</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Required heat procedures use Heat Index rather than a statewide WBGT mandate</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Heat procedures apply to events without a statewide WBGT requirement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Member-school athletics. Do not count Heat Index policy as WBGT adoption.</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63</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WV</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WBGT monitoring is required at practices and conditioning, generally every 30 minutes</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The packet recognizes contest heat risk, but no explicit universal contest WBGT threshold mandate was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All indoor and outdoor sports practices under the packet. A commercial list labeling West Virginia as requiring WBGT for games was not supported by the reviewed packet.</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64</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WI</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Local policies may apply. No required statewide heat-modification or WBGT policy was located.</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vAlign w:val="top"/>
          </w:tcPr>
          <w:p>
            <w:pPr>
              <w:spacing w:after="0" w:line="240" w:lineRule="auto"/>
            </w:pPr>
            <w:r>
              <w:rPr>
                <w:rFonts w:ascii="Aptos" w:hAnsi="Aptos"/>
                <w:color w:val="232323"/>
                <w:sz w:val="13"/>
              </w:rPr>
              <w:t>65</w:t>
            </w:r>
          </w:p>
        </w:tc>
      </w:tr>
      <w:tr>
        <w:trPr>
          <w:cantSplit/>
          <w:trHeight w:hRule="atLeast"/>
        </w:trPr>
        <w:tc>
          <w:tcPr>
            <w:tcW w:type="dxa" w:w="648"/>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WY</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2333"/>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No statewide WBGT mandate located</w:t>
            </w:r>
          </w:p>
        </w:tc>
        <w:tc>
          <w:tcPr>
            <w:tcW w:type="dxa" w:w="3240"/>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Local policies may apply. No required statewide heat-modification or WBGT policy was located.</w:t>
            </w:r>
          </w:p>
        </w:tc>
        <w:tc>
          <w:tcPr>
            <w:tcW w:type="dxa" w:w="576"/>
            <w:tcBorders>
              <w:top w:val="single" w:sz="4" w:space="0" w:color="D9D9D9"/>
              <w:left w:val="single" w:sz="4" w:space="0" w:color="D9D9D9"/>
              <w:bottom w:val="single" w:sz="4" w:space="0" w:color="D9D9D9"/>
              <w:right w:val="single" w:sz="4" w:space="0" w:color="D9D9D9"/>
              <w:insideH w:val="single" w:sz="4" w:space="0" w:color="D9D9D9"/>
              <w:insideV w:val="single" w:sz="4" w:space="0" w:color="D9D9D9"/>
            </w:tcBorders>
            <w:tcMar>
              <w:top w:w="70" w:type="dxa"/>
              <w:start w:w="85" w:type="dxa"/>
              <w:bottom w:w="70" w:type="dxa"/>
              <w:end w:w="85" w:type="dxa"/>
            </w:tcMar>
            <w:shd w:fill="F5F5F5"/>
            <w:vAlign w:val="top"/>
          </w:tcPr>
          <w:p>
            <w:pPr>
              <w:spacing w:after="0" w:line="240" w:lineRule="auto"/>
            </w:pPr>
            <w:r>
              <w:rPr>
                <w:rFonts w:ascii="Aptos" w:hAnsi="Aptos"/>
                <w:color w:val="232323"/>
                <w:sz w:val="13"/>
              </w:rPr>
              <w:t>66</w:t>
            </w:r>
          </w:p>
        </w:tc>
      </w:tr>
    </w:tbl>
    <w:p>
      <w:pPr>
        <w:spacing w:after="0"/>
      </w:pPr>
    </w:p>
    <w:p>
      <w:r>
        <w:br w:type="page"/>
      </w:r>
    </w:p>
    <w:p>
      <w:bookmarkStart w:id="12" w:name="sources"/>
      <w:pPr>
        <w:pStyle w:val="Heading1"/>
      </w:pPr>
      <w:r>
        <w:t>Sources</w:t>
      </w:r>
      <w:bookmarkEnd w:id="12"/>
    </w:p>
    <w:p>
      <w:pPr>
        <w:keepLines w:val="0"/>
      </w:pPr>
      <w:r>
        <w:t>All web sources were last checked September 11 2026 unless another date is stated. Numbering is used throughout the report and appendix. The workbook retains a sortable source inventory.</w:t>
      </w:r>
    </w:p>
    <w:p>
      <w:pPr>
        <w:spacing w:after="60" w:line="240" w:lineRule="auto"/>
        <w:ind w:left="259" w:hanging="259"/>
      </w:pPr>
      <w:r>
        <w:rPr>
          <w:rFonts w:ascii="Aptos" w:hAnsi="Aptos"/>
          <w:b/>
          <w:sz w:val="15"/>
        </w:rPr>
        <w:t xml:space="preserve">1  NFHS Heat Acclimatization and Heat Illness Prevention Position Statement. </w:t>
      </w:r>
      <w:r>
        <w:rPr>
          <w:rFonts w:ascii="Aptos" w:hAnsi="Aptos"/>
          <w:sz w:val="15"/>
        </w:rPr>
        <w:t xml:space="preserve">NFHS. 2022-04. Primary guidance. </w:t>
      </w:r>
      <w:hyperlink r:id="rId15">
        <w:r>
          <w:rPr>
            <w:color w:val="1F4E79"/>
            <w:u w:val="single"/>
          </w:rPr>
          <w:t>https://assets.nfhs.org/umbraco/media/5919613/nfhs-heat-acclimatization-april-2022-final.pdf</w:t>
        </w:r>
      </w:hyperlink>
    </w:p>
    <w:p>
      <w:pPr>
        <w:spacing w:after="60" w:line="240" w:lineRule="auto"/>
        <w:ind w:left="259" w:hanging="259"/>
      </w:pPr>
      <w:r>
        <w:rPr>
          <w:rFonts w:ascii="Aptos" w:hAnsi="Aptos"/>
          <w:b/>
          <w:sz w:val="15"/>
        </w:rPr>
        <w:t xml:space="preserve">2  Current Practices in Heat Acclimatization and Environmental Monitoring in High School Athletics. </w:t>
      </w:r>
      <w:r>
        <w:rPr>
          <w:rFonts w:ascii="Aptos" w:hAnsi="Aptos"/>
          <w:sz w:val="15"/>
        </w:rPr>
        <w:t xml:space="preserve">Journal of Athletic Training. 2021. Peer-reviewed. </w:t>
      </w:r>
      <w:hyperlink r:id="rId16">
        <w:r>
          <w:rPr>
            <w:color w:val="1F4E79"/>
            <w:u w:val="single"/>
          </w:rPr>
          <w:t>https://pmc.ncbi.nlm.nih.gov/articles/PMC8063664/</w:t>
        </w:r>
      </w:hyperlink>
    </w:p>
    <w:p>
      <w:pPr>
        <w:spacing w:after="60" w:line="240" w:lineRule="auto"/>
        <w:ind w:left="259" w:hanging="259"/>
      </w:pPr>
      <w:r>
        <w:rPr>
          <w:rFonts w:ascii="Aptos" w:hAnsi="Aptos"/>
          <w:b/>
          <w:sz w:val="15"/>
        </w:rPr>
        <w:t xml:space="preserve">3  Adoption of Policies to Prevent Heat Illness in High School Football. </w:t>
      </w:r>
      <w:r>
        <w:rPr>
          <w:rFonts w:ascii="Aptos" w:hAnsi="Aptos"/>
          <w:sz w:val="15"/>
        </w:rPr>
        <w:t xml:space="preserve">Journal of Athletic Training. 2019. Peer-reviewed. </w:t>
      </w:r>
      <w:hyperlink r:id="rId17">
        <w:r>
          <w:rPr>
            <w:color w:val="1F4E79"/>
            <w:u w:val="single"/>
          </w:rPr>
          <w:t>https://pmc.ncbi.nlm.nih.gov/articles/PMC6795101/</w:t>
        </w:r>
      </w:hyperlink>
    </w:p>
    <w:p>
      <w:pPr>
        <w:spacing w:after="60" w:line="240" w:lineRule="auto"/>
        <w:ind w:left="259" w:hanging="259"/>
      </w:pPr>
      <w:r>
        <w:rPr>
          <w:rFonts w:ascii="Aptos" w:hAnsi="Aptos"/>
          <w:b/>
          <w:sz w:val="15"/>
        </w:rPr>
        <w:t xml:space="preserve">4  Implementation of Exertional Heat Illness Prevention Strategies by High School Athletic Trainers. </w:t>
      </w:r>
      <w:r>
        <w:rPr>
          <w:rFonts w:ascii="Aptos" w:hAnsi="Aptos"/>
          <w:sz w:val="15"/>
        </w:rPr>
        <w:t xml:space="preserve">Medicina. 2020. Peer-reviewed. </w:t>
      </w:r>
      <w:hyperlink r:id="rId18">
        <w:r>
          <w:rPr>
            <w:color w:val="1F4E79"/>
            <w:u w:val="single"/>
          </w:rPr>
          <w:t>https://www.mdpi.com/1648-9144/56/10/486</w:t>
        </w:r>
      </w:hyperlink>
    </w:p>
    <w:p>
      <w:pPr>
        <w:spacing w:after="60" w:line="240" w:lineRule="auto"/>
        <w:ind w:left="259" w:hanging="259"/>
      </w:pPr>
      <w:r>
        <w:rPr>
          <w:rFonts w:ascii="Aptos" w:hAnsi="Aptos"/>
          <w:b/>
          <w:sz w:val="15"/>
        </w:rPr>
        <w:t xml:space="preserve">5  NCAA Sports Medicine Handbook. </w:t>
      </w:r>
      <w:r>
        <w:rPr>
          <w:rFonts w:ascii="Aptos" w:hAnsi="Aptos"/>
          <w:sz w:val="15"/>
        </w:rPr>
        <w:t xml:space="preserve">NCAA. Current edition reviewed 2026. Primary guidance. </w:t>
      </w:r>
      <w:hyperlink r:id="rId19">
        <w:r>
          <w:rPr>
            <w:color w:val="1F4E79"/>
            <w:u w:val="single"/>
          </w:rPr>
          <w:t>https://ncaaorg.s3.amazonaws.com/ssi/publications/SSI_SMHB.pdf</w:t>
        </w:r>
      </w:hyperlink>
    </w:p>
    <w:p>
      <w:pPr>
        <w:spacing w:after="60" w:line="240" w:lineRule="auto"/>
        <w:ind w:left="259" w:hanging="259"/>
      </w:pPr>
      <w:r>
        <w:rPr>
          <w:rFonts w:ascii="Aptos" w:hAnsi="Aptos"/>
          <w:b/>
          <w:sz w:val="15"/>
        </w:rPr>
        <w:t xml:space="preserve">6  NCAA Soccer Rules Book. </w:t>
      </w:r>
      <w:r>
        <w:rPr>
          <w:rFonts w:ascii="Aptos" w:hAnsi="Aptos"/>
          <w:sz w:val="15"/>
        </w:rPr>
        <w:t xml:space="preserve">NCAA. Current edition reviewed 2026. Primary rule. </w:t>
      </w:r>
      <w:hyperlink r:id="rId20">
        <w:r>
          <w:rPr>
            <w:color w:val="1F4E79"/>
            <w:u w:val="single"/>
          </w:rPr>
          <w:t>https://ncaaorg.s3.amazonaws.com/championships/sports/soccer/rules/PRXSO_RulesBook.pdf</w:t>
        </w:r>
      </w:hyperlink>
    </w:p>
    <w:p>
      <w:pPr>
        <w:spacing w:after="60" w:line="240" w:lineRule="auto"/>
        <w:ind w:left="259" w:hanging="259"/>
      </w:pPr>
      <w:r>
        <w:rPr>
          <w:rFonts w:ascii="Aptos" w:hAnsi="Aptos"/>
          <w:b/>
          <w:sz w:val="15"/>
        </w:rPr>
        <w:t xml:space="preserve">7  National Weather Service WBGT. </w:t>
      </w:r>
      <w:r>
        <w:rPr>
          <w:rFonts w:ascii="Aptos" w:hAnsi="Aptos"/>
          <w:sz w:val="15"/>
        </w:rPr>
        <w:t xml:space="preserve">National Weather Service. Reviewed 2026-09-11. Federal technical guidance. </w:t>
      </w:r>
      <w:hyperlink r:id="rId21">
        <w:r>
          <w:rPr>
            <w:color w:val="1F4E79"/>
            <w:u w:val="single"/>
          </w:rPr>
          <w:t>https://www.weather.gov/arx/wbgt</w:t>
        </w:r>
      </w:hyperlink>
    </w:p>
    <w:p>
      <w:pPr>
        <w:spacing w:after="60" w:line="240" w:lineRule="auto"/>
        <w:ind w:left="259" w:hanging="259"/>
      </w:pPr>
      <w:r>
        <w:rPr>
          <w:rFonts w:ascii="Aptos" w:hAnsi="Aptos"/>
          <w:b/>
          <w:sz w:val="15"/>
        </w:rPr>
        <w:t xml:space="preserve">8  KSI High School Sports Safety Policy State Audits. </w:t>
      </w:r>
      <w:r>
        <w:rPr>
          <w:rFonts w:ascii="Aptos" w:hAnsi="Aptos"/>
          <w:sz w:val="15"/>
        </w:rPr>
        <w:t xml:space="preserve">Korey Stringer Institute. Baseline reviewed 2026-09-11. Expert secondary audit. </w:t>
      </w:r>
      <w:hyperlink r:id="rId22">
        <w:r>
          <w:rPr>
            <w:color w:val="1F4E79"/>
            <w:u w:val="single"/>
          </w:rPr>
          <w:t>https://koreystringer.institute.uconn.edu/high-school-sports-safety-policies/</w:t>
        </w:r>
      </w:hyperlink>
    </w:p>
    <w:p>
      <w:pPr>
        <w:spacing w:after="60" w:line="240" w:lineRule="auto"/>
        <w:ind w:left="259" w:hanging="259"/>
      </w:pPr>
      <w:r>
        <w:rPr>
          <w:rFonts w:ascii="Aptos" w:hAnsi="Aptos"/>
          <w:b/>
          <w:sz w:val="15"/>
        </w:rPr>
        <w:t xml:space="preserve">9  Associated Press State Heat Policy Review. </w:t>
      </w:r>
      <w:r>
        <w:rPr>
          <w:rFonts w:ascii="Aptos" w:hAnsi="Aptos"/>
          <w:sz w:val="15"/>
        </w:rPr>
        <w:t xml:space="preserve">Associated Press. 2024. Independent reporting. </w:t>
      </w:r>
      <w:hyperlink r:id="rId23">
        <w:r>
          <w:rPr>
            <w:color w:val="1F4E79"/>
            <w:u w:val="single"/>
          </w:rPr>
          <w:t>https://apnews.com/article/2455ba5852d83f548754e44240abf99b</w:t>
        </w:r>
      </w:hyperlink>
    </w:p>
    <w:p>
      <w:pPr>
        <w:spacing w:after="60" w:line="240" w:lineRule="auto"/>
        <w:ind w:left="259" w:hanging="259"/>
      </w:pPr>
      <w:r>
        <w:rPr>
          <w:rFonts w:ascii="Aptos" w:hAnsi="Aptos"/>
          <w:b/>
          <w:sz w:val="15"/>
        </w:rPr>
        <w:t xml:space="preserve">10  California AB 2503. </w:t>
      </w:r>
      <w:r>
        <w:rPr>
          <w:rFonts w:ascii="Aptos" w:hAnsi="Aptos"/>
          <w:sz w:val="15"/>
        </w:rPr>
        <w:t xml:space="preserve">California Legislative Information. 2026-08-31. Primary law. </w:t>
      </w:r>
      <w:hyperlink r:id="rId24">
        <w:r>
          <w:rPr>
            <w:color w:val="1F4E79"/>
            <w:u w:val="single"/>
          </w:rPr>
          <w:t>https://leginfo.legislature.ca.gov/faces/billNavClient.xhtml?bill_id=202520260AB2503</w:t>
        </w:r>
      </w:hyperlink>
    </w:p>
    <w:p>
      <w:pPr>
        <w:spacing w:after="60" w:line="240" w:lineRule="auto"/>
        <w:ind w:left="259" w:hanging="259"/>
      </w:pPr>
      <w:r>
        <w:rPr>
          <w:rFonts w:ascii="Aptos" w:hAnsi="Aptos"/>
          <w:b/>
          <w:sz w:val="15"/>
        </w:rPr>
        <w:t xml:space="preserve">11  Virginia Code Section 22 1 271 10. </w:t>
      </w:r>
      <w:r>
        <w:rPr>
          <w:rFonts w:ascii="Aptos" w:hAnsi="Aptos"/>
          <w:sz w:val="15"/>
        </w:rPr>
        <w:t xml:space="preserve">Virginia General Assembly. Current. Primary law. </w:t>
      </w:r>
      <w:hyperlink r:id="rId25">
        <w:r>
          <w:rPr>
            <w:color w:val="1F4E79"/>
            <w:u w:val="single"/>
          </w:rPr>
          <w:t>https://law.lis.virginia.gov/vacode/title22.1/chapter14/section22.1-271.10/</w:t>
        </w:r>
      </w:hyperlink>
    </w:p>
    <w:p>
      <w:pPr>
        <w:spacing w:after="60" w:line="240" w:lineRule="auto"/>
        <w:ind w:left="259" w:hanging="259"/>
      </w:pPr>
      <w:r>
        <w:rPr>
          <w:rFonts w:ascii="Aptos" w:hAnsi="Aptos"/>
          <w:b/>
          <w:sz w:val="15"/>
        </w:rPr>
        <w:t xml:space="preserve">12  New Jersey P L 2019 Chapter 293. </w:t>
      </w:r>
      <w:r>
        <w:rPr>
          <w:rFonts w:ascii="Aptos" w:hAnsi="Aptos"/>
          <w:sz w:val="15"/>
        </w:rPr>
        <w:t xml:space="preserve">New Jersey Legislature. 2020. Primary law. </w:t>
      </w:r>
      <w:hyperlink r:id="rId26">
        <w:r>
          <w:rPr>
            <w:color w:val="1F4E79"/>
            <w:u w:val="single"/>
          </w:rPr>
          <w:t>https://pub.njleg.gov/bills/2018/PL19/293_.HTM</w:t>
        </w:r>
      </w:hyperlink>
    </w:p>
    <w:p>
      <w:pPr>
        <w:spacing w:after="60" w:line="240" w:lineRule="auto"/>
        <w:ind w:left="259" w:hanging="259"/>
      </w:pPr>
      <w:r>
        <w:rPr>
          <w:rFonts w:ascii="Aptos" w:hAnsi="Aptos"/>
          <w:b/>
          <w:sz w:val="15"/>
        </w:rPr>
        <w:t xml:space="preserve">13  Florida Statutes Chapter 1006. </w:t>
      </w:r>
      <w:r>
        <w:rPr>
          <w:rFonts w:ascii="Aptos" w:hAnsi="Aptos"/>
          <w:sz w:val="15"/>
        </w:rPr>
        <w:t xml:space="preserve">Florida Legislature. Current. Primary law. </w:t>
      </w:r>
      <w:hyperlink r:id="rId27">
        <w:r>
          <w:rPr>
            <w:color w:val="1F4E79"/>
            <w:u w:val="single"/>
          </w:rPr>
          <w:t>https://www.leg.state.fl.us/Statutes/index.cfm?App_mode=Display_Statute&amp;URL=1000-1099/1006/1006.html</w:t>
        </w:r>
      </w:hyperlink>
    </w:p>
    <w:p>
      <w:pPr>
        <w:spacing w:after="60" w:line="240" w:lineRule="auto"/>
        <w:ind w:left="259" w:hanging="259"/>
      </w:pPr>
      <w:r>
        <w:rPr>
          <w:rFonts w:ascii="Aptos" w:hAnsi="Aptos"/>
          <w:b/>
          <w:sz w:val="15"/>
        </w:rPr>
        <w:t xml:space="preserve">14  U S Soccer Managing Extreme Heat Guidelines. </w:t>
      </w:r>
      <w:r>
        <w:rPr>
          <w:rFonts w:ascii="Aptos" w:hAnsi="Aptos"/>
          <w:sz w:val="15"/>
        </w:rPr>
        <w:t xml:space="preserve">U S Soccer. Current. Primary guidance. </w:t>
      </w:r>
      <w:hyperlink r:id="rId28">
        <w:r>
          <w:rPr>
            <w:color w:val="1F4E79"/>
            <w:u w:val="single"/>
          </w:rPr>
          <w:t>https://cdn.sanity.io/files/oyf3dba6/production/f45720c82a0be4de712b55823cfe73dc6f0496d9.pdf</w:t>
        </w:r>
      </w:hyperlink>
    </w:p>
    <w:p>
      <w:pPr>
        <w:spacing w:after="60" w:line="240" w:lineRule="auto"/>
        <w:ind w:left="259" w:hanging="259"/>
      </w:pPr>
      <w:r>
        <w:rPr>
          <w:rFonts w:ascii="Aptos" w:hAnsi="Aptos"/>
          <w:b/>
          <w:sz w:val="15"/>
        </w:rPr>
        <w:t xml:space="preserve">15  USA Ultimate Heat and Air Quality Guidelines. </w:t>
      </w:r>
      <w:r>
        <w:rPr>
          <w:rFonts w:ascii="Aptos" w:hAnsi="Aptos"/>
          <w:sz w:val="15"/>
        </w:rPr>
        <w:t xml:space="preserve">USA Ultimate. 2025. Primary policy. </w:t>
      </w:r>
      <w:hyperlink r:id="rId29">
        <w:r>
          <w:rPr>
            <w:color w:val="1F4E79"/>
            <w:u w:val="single"/>
          </w:rPr>
          <w:t>https://usaultimate.org/wp-content/uploads/2025/07/Heat-and-Air-Quality-Guidelines-for-USA-Ultimate-Events-2025.pdf</w:t>
        </w:r>
      </w:hyperlink>
    </w:p>
    <w:p>
      <w:pPr>
        <w:spacing w:after="60" w:line="240" w:lineRule="auto"/>
        <w:ind w:left="259" w:hanging="259"/>
      </w:pPr>
      <w:r>
        <w:rPr>
          <w:rFonts w:ascii="Aptos" w:hAnsi="Aptos"/>
          <w:b/>
          <w:sz w:val="15"/>
        </w:rPr>
        <w:t xml:space="preserve">16  NIOSH Heat Stress Recommendations. </w:t>
      </w:r>
      <w:r>
        <w:rPr>
          <w:rFonts w:ascii="Aptos" w:hAnsi="Aptos"/>
          <w:sz w:val="15"/>
        </w:rPr>
        <w:t xml:space="preserve">CDC NIOSH. Current. Federal guidance. </w:t>
      </w:r>
      <w:hyperlink r:id="rId30">
        <w:r>
          <w:rPr>
            <w:color w:val="1F4E79"/>
            <w:u w:val="single"/>
          </w:rPr>
          <w:t>https://www.cdc.gov/niosh/heat-stress/recommendations/</w:t>
        </w:r>
      </w:hyperlink>
    </w:p>
    <w:p>
      <w:pPr>
        <w:spacing w:after="60" w:line="240" w:lineRule="auto"/>
        <w:ind w:left="259" w:hanging="259"/>
      </w:pPr>
      <w:r>
        <w:rPr>
          <w:rFonts w:ascii="Aptos" w:hAnsi="Aptos"/>
          <w:b/>
          <w:sz w:val="15"/>
        </w:rPr>
        <w:t xml:space="preserve">17  OSHA Heat Injury and Illness Prevention Rulemaking. </w:t>
      </w:r>
      <w:r>
        <w:rPr>
          <w:rFonts w:ascii="Aptos" w:hAnsi="Aptos"/>
          <w:sz w:val="15"/>
        </w:rPr>
        <w:t xml:space="preserve">OSHA. Reviewed 2026-09-11. Federal rulemaking. </w:t>
      </w:r>
      <w:hyperlink r:id="rId31">
        <w:r>
          <w:rPr>
            <w:color w:val="1F4E79"/>
            <w:u w:val="single"/>
          </w:rPr>
          <w:t>https://www.osha.gov/heat-exposure/rulemaking</w:t>
        </w:r>
      </w:hyperlink>
    </w:p>
    <w:p>
      <w:pPr>
        <w:spacing w:after="60" w:line="240" w:lineRule="auto"/>
        <w:ind w:left="259" w:hanging="259"/>
      </w:pPr>
      <w:r>
        <w:rPr>
          <w:rFonts w:ascii="Aptos" w:hAnsi="Aptos"/>
          <w:b/>
          <w:sz w:val="15"/>
        </w:rPr>
        <w:t xml:space="preserve">18  AHSAA Heat Index Exercise Restrictions. </w:t>
      </w:r>
      <w:r>
        <w:rPr>
          <w:rFonts w:ascii="Aptos" w:hAnsi="Aptos"/>
          <w:sz w:val="15"/>
        </w:rPr>
        <w:t xml:space="preserve">Alabama High School Athletic Association. 2024 policy reviewed. Association rule. </w:t>
      </w:r>
      <w:hyperlink r:id="rId32">
        <w:r>
          <w:rPr>
            <w:color w:val="1F4E79"/>
            <w:u w:val="single"/>
          </w:rPr>
          <w:t>https://www.ahsaa.com/Portals/0/PDF%27s/AHSAA/Safety/2024%20HEAT%20INDEX%20EXERCISE%20RESTRICTIONS.pdf</w:t>
        </w:r>
      </w:hyperlink>
    </w:p>
    <w:p>
      <w:pPr>
        <w:spacing w:after="60" w:line="240" w:lineRule="auto"/>
        <w:ind w:left="259" w:hanging="259"/>
      </w:pPr>
      <w:r>
        <w:rPr>
          <w:rFonts w:ascii="Aptos" w:hAnsi="Aptos"/>
          <w:b/>
          <w:sz w:val="15"/>
        </w:rPr>
        <w:t xml:space="preserve">19  KSI High School Sports Safety Policies Alaska. </w:t>
      </w:r>
      <w:r>
        <w:rPr>
          <w:rFonts w:ascii="Aptos" w:hAnsi="Aptos"/>
          <w:sz w:val="15"/>
        </w:rPr>
        <w:t xml:space="preserve">Alaska School Activities Association. KSI baseline reviewed 2026. Association or local policy. </w:t>
      </w:r>
      <w:hyperlink r:id="rId33">
        <w:r>
          <w:rPr>
            <w:color w:val="1F4E79"/>
            <w:u w:val="single"/>
          </w:rPr>
          <w:t>https://koreystringer.institute.uconn.edu/hsssp-alaska/</w:t>
        </w:r>
      </w:hyperlink>
    </w:p>
    <w:p>
      <w:pPr>
        <w:spacing w:after="60" w:line="240" w:lineRule="auto"/>
        <w:ind w:left="259" w:hanging="259"/>
      </w:pPr>
      <w:r>
        <w:rPr>
          <w:rFonts w:ascii="Aptos" w:hAnsi="Aptos"/>
          <w:b/>
          <w:sz w:val="15"/>
        </w:rPr>
        <w:t xml:space="preserve">20  AIA Article 43 Sports Medicine. </w:t>
      </w:r>
      <w:r>
        <w:rPr>
          <w:rFonts w:ascii="Aptos" w:hAnsi="Aptos"/>
          <w:sz w:val="15"/>
        </w:rPr>
        <w:t xml:space="preserve">Arizona Interscholastic Association. 2025-26 Article 43. Association rule. </w:t>
      </w:r>
      <w:hyperlink r:id="rId34">
        <w:r>
          <w:rPr>
            <w:color w:val="1F4E79"/>
            <w:u w:val="single"/>
          </w:rPr>
          <w:t>https://aiaonline.org/files/18079/article-43-sports-medicine.pdf</w:t>
        </w:r>
      </w:hyperlink>
    </w:p>
    <w:p>
      <w:pPr>
        <w:spacing w:after="60" w:line="240" w:lineRule="auto"/>
        <w:ind w:left="259" w:hanging="259"/>
      </w:pPr>
      <w:r>
        <w:rPr>
          <w:rFonts w:ascii="Aptos" w:hAnsi="Aptos"/>
          <w:b/>
          <w:sz w:val="15"/>
        </w:rPr>
        <w:t xml:space="preserve">21  AAA WBGT FAQ. </w:t>
      </w:r>
      <w:r>
        <w:rPr>
          <w:rFonts w:ascii="Aptos" w:hAnsi="Aptos"/>
          <w:sz w:val="15"/>
        </w:rPr>
        <w:t xml:space="preserve">Arkansas Activities Association. 2026 FAQ. Association rule and implementation guidance. </w:t>
      </w:r>
      <w:hyperlink r:id="rId35">
        <w:r>
          <w:rPr>
            <w:color w:val="1F4E79"/>
            <w:u w:val="single"/>
          </w:rPr>
          <w:t>https://www.ahsaa.org/live_feeds/12843509</w:t>
        </w:r>
      </w:hyperlink>
    </w:p>
    <w:p>
      <w:pPr>
        <w:spacing w:after="60" w:line="240" w:lineRule="auto"/>
        <w:ind w:left="259" w:hanging="259"/>
      </w:pPr>
      <w:r>
        <w:rPr>
          <w:rFonts w:ascii="Aptos" w:hAnsi="Aptos"/>
          <w:b/>
          <w:sz w:val="15"/>
        </w:rPr>
        <w:t xml:space="preserve">22  CIF 2025-26 Blue Book. </w:t>
      </w:r>
      <w:r>
        <w:rPr>
          <w:rFonts w:ascii="Aptos" w:hAnsi="Aptos"/>
          <w:sz w:val="15"/>
        </w:rPr>
        <w:t xml:space="preserve">California Interscholastic Federation and California Education Code. 2025-26 current policy; annual review begins 2027. State law plus association rule. </w:t>
      </w:r>
      <w:hyperlink r:id="rId36">
        <w:r>
          <w:rPr>
            <w:color w:val="1F4E79"/>
            <w:u w:val="single"/>
          </w:rPr>
          <w:t>https://cifss.org/wp-content/uploads/2025/09/2025-26-Blue-Book-Complete-9-29-25.pdf</w:t>
        </w:r>
      </w:hyperlink>
    </w:p>
    <w:p>
      <w:pPr>
        <w:spacing w:after="60" w:line="240" w:lineRule="auto"/>
        <w:ind w:left="259" w:hanging="259"/>
      </w:pPr>
      <w:r>
        <w:rPr>
          <w:rFonts w:ascii="Aptos" w:hAnsi="Aptos"/>
          <w:b/>
          <w:sz w:val="15"/>
        </w:rPr>
        <w:t xml:space="preserve">23  KSI High School Sports Safety Policies Colorado. </w:t>
      </w:r>
      <w:r>
        <w:rPr>
          <w:rFonts w:ascii="Aptos" w:hAnsi="Aptos"/>
          <w:sz w:val="15"/>
        </w:rPr>
        <w:t xml:space="preserve">Colorado High School Activities Association. KSI baseline reviewed 2026. Association or local policy. </w:t>
      </w:r>
      <w:hyperlink r:id="rId37">
        <w:r>
          <w:rPr>
            <w:color w:val="1F4E79"/>
            <w:u w:val="single"/>
          </w:rPr>
          <w:t>https://koreystringer.institute.uconn.edu/hsssp-colorado/</w:t>
        </w:r>
      </w:hyperlink>
    </w:p>
    <w:p>
      <w:pPr>
        <w:spacing w:after="60" w:line="240" w:lineRule="auto"/>
        <w:ind w:left="259" w:hanging="259"/>
      </w:pPr>
      <w:r>
        <w:rPr>
          <w:rFonts w:ascii="Aptos" w:hAnsi="Aptos"/>
          <w:b/>
          <w:sz w:val="15"/>
        </w:rPr>
        <w:t xml:space="preserve">24  KSI High School Sports Safety Policies Connecticut. </w:t>
      </w:r>
      <w:r>
        <w:rPr>
          <w:rFonts w:ascii="Aptos" w:hAnsi="Aptos"/>
          <w:sz w:val="15"/>
        </w:rPr>
        <w:t xml:space="preserve">Connecticut Interscholastic Athletic Conference. KSI baseline reviewed 2026. Association or local policy. </w:t>
      </w:r>
      <w:hyperlink r:id="rId38">
        <w:r>
          <w:rPr>
            <w:color w:val="1F4E79"/>
            <w:u w:val="single"/>
          </w:rPr>
          <w:t>https://koreystringer.institute.uconn.edu/hsssp-connecticut/</w:t>
        </w:r>
      </w:hyperlink>
    </w:p>
    <w:p>
      <w:pPr>
        <w:spacing w:after="60" w:line="240" w:lineRule="auto"/>
        <w:ind w:left="259" w:hanging="259"/>
      </w:pPr>
      <w:r>
        <w:rPr>
          <w:rFonts w:ascii="Aptos" w:hAnsi="Aptos"/>
          <w:b/>
          <w:sz w:val="15"/>
        </w:rPr>
        <w:t xml:space="preserve">25  KSI High School Sports Safety Policies Delaware. </w:t>
      </w:r>
      <w:r>
        <w:rPr>
          <w:rFonts w:ascii="Aptos" w:hAnsi="Aptos"/>
          <w:sz w:val="15"/>
        </w:rPr>
        <w:t xml:space="preserve">Delaware Interscholastic Athletic Association. KSI baseline reviewed 2026. Association rule. </w:t>
      </w:r>
      <w:hyperlink r:id="rId39">
        <w:r>
          <w:rPr>
            <w:color w:val="1F4E79"/>
            <w:u w:val="single"/>
          </w:rPr>
          <w:t>https://koreystringer.institute.uconn.edu/hsssp-delaware/</w:t>
        </w:r>
      </w:hyperlink>
    </w:p>
    <w:p>
      <w:pPr>
        <w:spacing w:after="60" w:line="240" w:lineRule="auto"/>
        <w:ind w:left="259" w:hanging="259"/>
      </w:pPr>
      <w:r>
        <w:rPr>
          <w:rFonts w:ascii="Aptos" w:hAnsi="Aptos"/>
          <w:b/>
          <w:sz w:val="15"/>
        </w:rPr>
        <w:t xml:space="preserve">26  DCIAA Heat Acclimatization. </w:t>
      </w:r>
      <w:r>
        <w:rPr>
          <w:rFonts w:ascii="Aptos" w:hAnsi="Aptos"/>
          <w:sz w:val="15"/>
        </w:rPr>
        <w:t xml:space="preserve">District of Columbia Interscholastic Athletic Association. Current DCIAA web guidance reviewed 2026. Public-school league protocol. </w:t>
      </w:r>
      <w:hyperlink r:id="rId40">
        <w:r>
          <w:rPr>
            <w:color w:val="1F4E79"/>
            <w:u w:val="single"/>
          </w:rPr>
          <w:t>https://www.thedciaa.com/heat-acclimatization</w:t>
        </w:r>
      </w:hyperlink>
    </w:p>
    <w:p>
      <w:pPr>
        <w:spacing w:after="60" w:line="240" w:lineRule="auto"/>
        <w:ind w:left="259" w:hanging="259"/>
      </w:pPr>
      <w:r>
        <w:rPr>
          <w:rFonts w:ascii="Aptos" w:hAnsi="Aptos"/>
          <w:b/>
          <w:sz w:val="15"/>
        </w:rPr>
        <w:t xml:space="preserve">27  FHSAA Handbook Policy 41. </w:t>
      </w:r>
      <w:r>
        <w:rPr>
          <w:rFonts w:ascii="Aptos" w:hAnsi="Aptos"/>
          <w:sz w:val="15"/>
        </w:rPr>
        <w:t xml:space="preserve">Florida High School Athletic Association and Florida Statutes. 2024-25 handbook policy retained as current governing framework. State law plus association rule. </w:t>
      </w:r>
      <w:hyperlink r:id="rId41">
        <w:r>
          <w:rPr>
            <w:color w:val="1F4E79"/>
            <w:u w:val="single"/>
          </w:rPr>
          <w:t>https://s3.amazonaws.com/fhsaa.org/documents/2025/2/22/2425_handbook_2_21_25.pdf</w:t>
        </w:r>
      </w:hyperlink>
    </w:p>
    <w:p>
      <w:pPr>
        <w:spacing w:after="60" w:line="240" w:lineRule="auto"/>
        <w:ind w:left="259" w:hanging="259"/>
      </w:pPr>
      <w:r>
        <w:rPr>
          <w:rFonts w:ascii="Aptos" w:hAnsi="Aptos"/>
          <w:b/>
          <w:sz w:val="15"/>
        </w:rPr>
        <w:t xml:space="preserve">28  GHSA Practice Policy for Heat and Humidity. </w:t>
      </w:r>
      <w:r>
        <w:rPr>
          <w:rFonts w:ascii="Aptos" w:hAnsi="Aptos"/>
          <w:sz w:val="15"/>
        </w:rPr>
        <w:t xml:space="preserve">Georgia High School Association. Current GHSA policy and 2025-26 football rules. Association rule. </w:t>
      </w:r>
      <w:hyperlink r:id="rId42">
        <w:r>
          <w:rPr>
            <w:color w:val="1F4E79"/>
            <w:u w:val="single"/>
          </w:rPr>
          <w:t>https://www.ghsa.net/ghsa-practice-policy-heat-and-humidity</w:t>
        </w:r>
      </w:hyperlink>
    </w:p>
    <w:p>
      <w:pPr>
        <w:spacing w:after="60" w:line="240" w:lineRule="auto"/>
        <w:ind w:left="259" w:hanging="259"/>
      </w:pPr>
      <w:r>
        <w:rPr>
          <w:rFonts w:ascii="Aptos" w:hAnsi="Aptos"/>
          <w:b/>
          <w:sz w:val="15"/>
        </w:rPr>
        <w:t xml:space="preserve">29  HHSAA Heat Acclimatization Policy. </w:t>
      </w:r>
      <w:r>
        <w:rPr>
          <w:rFonts w:ascii="Aptos" w:hAnsi="Aptos"/>
          <w:sz w:val="15"/>
        </w:rPr>
        <w:t xml:space="preserve">Hawaii High School Athletic Association. Current association policy reviewed 2026. Association rule. </w:t>
      </w:r>
      <w:hyperlink r:id="rId43">
        <w:r>
          <w:rPr>
            <w:color w:val="1F4E79"/>
            <w:u w:val="single"/>
          </w:rPr>
          <w:t>https://hhsaa.org/assets/content/resources/governing_documents/Heat-Acclimatization-Revised-7-11-17.pdf</w:t>
        </w:r>
      </w:hyperlink>
    </w:p>
    <w:p>
      <w:pPr>
        <w:spacing w:after="60" w:line="240" w:lineRule="auto"/>
        <w:ind w:left="259" w:hanging="259"/>
      </w:pPr>
      <w:r>
        <w:rPr>
          <w:rFonts w:ascii="Aptos" w:hAnsi="Aptos"/>
          <w:b/>
          <w:sz w:val="15"/>
        </w:rPr>
        <w:t xml:space="preserve">30  KSI High School Sports Safety Policies Idaho. </w:t>
      </w:r>
      <w:r>
        <w:rPr>
          <w:rFonts w:ascii="Aptos" w:hAnsi="Aptos"/>
          <w:sz w:val="15"/>
        </w:rPr>
        <w:t xml:space="preserve">Idaho High School Activities Association. KSI baseline reviewed 2026. Association or local policy. </w:t>
      </w:r>
      <w:hyperlink r:id="rId44">
        <w:r>
          <w:rPr>
            <w:color w:val="1F4E79"/>
            <w:u w:val="single"/>
          </w:rPr>
          <w:t>https://koreystringer.institute.uconn.edu/hsssp-idaho/</w:t>
        </w:r>
      </w:hyperlink>
    </w:p>
    <w:p>
      <w:pPr>
        <w:spacing w:after="60" w:line="240" w:lineRule="auto"/>
        <w:ind w:left="259" w:hanging="259"/>
      </w:pPr>
      <w:r>
        <w:rPr>
          <w:rFonts w:ascii="Aptos" w:hAnsi="Aptos"/>
          <w:b/>
          <w:sz w:val="15"/>
        </w:rPr>
        <w:t xml:space="preserve">31  IHSA All School Mailing Heat Policy. </w:t>
      </w:r>
      <w:r>
        <w:rPr>
          <w:rFonts w:ascii="Aptos" w:hAnsi="Aptos"/>
          <w:sz w:val="15"/>
        </w:rPr>
        <w:t xml:space="preserve">Illinois High School Association. 2024-25 all-school mailing and current IHSA policy. Association rule. </w:t>
      </w:r>
      <w:hyperlink r:id="rId45">
        <w:r>
          <w:rPr>
            <w:color w:val="1F4E79"/>
            <w:u w:val="single"/>
          </w:rPr>
          <w:t>https://www.ihsa.org/documents/forms/2024-25/ASM%202024%20Mailing.pdf</w:t>
        </w:r>
      </w:hyperlink>
    </w:p>
    <w:p>
      <w:pPr>
        <w:spacing w:after="60" w:line="240" w:lineRule="auto"/>
        <w:ind w:left="259" w:hanging="259"/>
      </w:pPr>
      <w:r>
        <w:rPr>
          <w:rFonts w:ascii="Aptos" w:hAnsi="Aptos"/>
          <w:b/>
          <w:sz w:val="15"/>
        </w:rPr>
        <w:t xml:space="preserve">32  KSI High School Sports Safety Policies Indiana. </w:t>
      </w:r>
      <w:r>
        <w:rPr>
          <w:rFonts w:ascii="Aptos" w:hAnsi="Aptos"/>
          <w:sz w:val="15"/>
        </w:rPr>
        <w:t xml:space="preserve">Indiana High School Athletic Association. KSI baseline reviewed 2026. Association or local policy. </w:t>
      </w:r>
      <w:hyperlink r:id="rId46">
        <w:r>
          <w:rPr>
            <w:color w:val="1F4E79"/>
            <w:u w:val="single"/>
          </w:rPr>
          <w:t>https://koreystringer.institute.uconn.edu/hsssp-indiana/</w:t>
        </w:r>
      </w:hyperlink>
    </w:p>
    <w:p>
      <w:pPr>
        <w:spacing w:after="60" w:line="240" w:lineRule="auto"/>
        <w:ind w:left="259" w:hanging="259"/>
      </w:pPr>
      <w:r>
        <w:rPr>
          <w:rFonts w:ascii="Aptos" w:hAnsi="Aptos"/>
          <w:b/>
          <w:sz w:val="15"/>
        </w:rPr>
        <w:t xml:space="preserve">33  Iowa WBGT Heat Modification Policy. </w:t>
      </w:r>
      <w:r>
        <w:rPr>
          <w:rFonts w:ascii="Aptos" w:hAnsi="Aptos"/>
          <w:sz w:val="15"/>
        </w:rPr>
        <w:t xml:space="preserve">IHSAA IGHSAU IHSMA and IHSSA. 2024 policy confirmed in 2025 and 2026 materials. Association rule. </w:t>
      </w:r>
      <w:hyperlink r:id="rId47">
        <w:r>
          <w:rPr>
            <w:color w:val="1F4E79"/>
            <w:u w:val="single"/>
          </w:rPr>
          <w:t>https://www.iahsaa.org/wp-content/uploads/2024/09/WBGT-Heat-Modification-Policy.pdf</w:t>
        </w:r>
      </w:hyperlink>
    </w:p>
    <w:p>
      <w:pPr>
        <w:spacing w:after="60" w:line="240" w:lineRule="auto"/>
        <w:ind w:left="259" w:hanging="259"/>
      </w:pPr>
      <w:r>
        <w:rPr>
          <w:rFonts w:ascii="Aptos" w:hAnsi="Aptos"/>
          <w:b/>
          <w:sz w:val="15"/>
        </w:rPr>
        <w:t xml:space="preserve">34  KSHSAA Heat Policy. </w:t>
      </w:r>
      <w:r>
        <w:rPr>
          <w:rFonts w:ascii="Aptos" w:hAnsi="Aptos"/>
          <w:sz w:val="15"/>
        </w:rPr>
        <w:t xml:space="preserve">Kansas State High School Activities Association. Current policy reviewed 2026. Association guidance. </w:t>
      </w:r>
      <w:hyperlink r:id="rId48">
        <w:r>
          <w:rPr>
            <w:color w:val="1F4E79"/>
            <w:u w:val="single"/>
          </w:rPr>
          <w:t>https://www.kshsaa.org/Public/PDF/HeatPolicy-Current.pdf</w:t>
        </w:r>
      </w:hyperlink>
    </w:p>
    <w:p>
      <w:pPr>
        <w:spacing w:after="60" w:line="240" w:lineRule="auto"/>
        <w:ind w:left="259" w:hanging="259"/>
      </w:pPr>
      <w:r>
        <w:rPr>
          <w:rFonts w:ascii="Aptos" w:hAnsi="Aptos"/>
          <w:b/>
          <w:sz w:val="15"/>
        </w:rPr>
        <w:t xml:space="preserve">35  KHSAA Policies and Procedures. </w:t>
      </w:r>
      <w:r>
        <w:rPr>
          <w:rFonts w:ascii="Aptos" w:hAnsi="Aptos"/>
          <w:sz w:val="15"/>
        </w:rPr>
        <w:t xml:space="preserve">Kentucky High School Athletic Association. Current KHSAA policies. Association rule. </w:t>
      </w:r>
      <w:hyperlink r:id="rId49">
        <w:r>
          <w:rPr>
            <w:color w:val="1F4E79"/>
            <w:u w:val="single"/>
          </w:rPr>
          <w:t>https://khsaa.org/common_documents/handbook/policies.pdf</w:t>
        </w:r>
      </w:hyperlink>
    </w:p>
    <w:p>
      <w:pPr>
        <w:spacing w:after="60" w:line="240" w:lineRule="auto"/>
        <w:ind w:left="259" w:hanging="259"/>
      </w:pPr>
      <w:r>
        <w:rPr>
          <w:rFonts w:ascii="Aptos" w:hAnsi="Aptos"/>
          <w:b/>
          <w:sz w:val="15"/>
        </w:rPr>
        <w:t xml:space="preserve">36  Louisiana Administrative Code Heat Acclimatization and WBGT. </w:t>
      </w:r>
      <w:r>
        <w:rPr>
          <w:rFonts w:ascii="Aptos" w:hAnsi="Aptos"/>
          <w:sz w:val="15"/>
        </w:rPr>
        <w:t xml:space="preserve">Louisiana Department of Education and LHSAA. Current Louisiana Administrative Code. State administrative code. </w:t>
      </w:r>
      <w:hyperlink r:id="rId50">
        <w:r>
          <w:rPr>
            <w:color w:val="1F4E79"/>
            <w:u w:val="single"/>
          </w:rPr>
          <w:t>https://www.law.cornell.edu/regulations/louisiana/La-Admin-Code-tit-28-SS-CLVII-507</w:t>
        </w:r>
      </w:hyperlink>
    </w:p>
    <w:p>
      <w:pPr>
        <w:spacing w:after="60" w:line="240" w:lineRule="auto"/>
        <w:ind w:left="259" w:hanging="259"/>
      </w:pPr>
      <w:r>
        <w:rPr>
          <w:rFonts w:ascii="Aptos" w:hAnsi="Aptos"/>
          <w:b/>
          <w:sz w:val="15"/>
        </w:rPr>
        <w:t xml:space="preserve">37  KSI High School Sports Safety Policies Maine. </w:t>
      </w:r>
      <w:r>
        <w:rPr>
          <w:rFonts w:ascii="Aptos" w:hAnsi="Aptos"/>
          <w:sz w:val="15"/>
        </w:rPr>
        <w:t xml:space="preserve">Maine Principals Association. KSI baseline reviewed 2026. Association or local policy. </w:t>
      </w:r>
      <w:hyperlink r:id="rId51">
        <w:r>
          <w:rPr>
            <w:color w:val="1F4E79"/>
            <w:u w:val="single"/>
          </w:rPr>
          <w:t>https://koreystringer.institute.uconn.edu/hsssp-maine/</w:t>
        </w:r>
      </w:hyperlink>
    </w:p>
    <w:p>
      <w:pPr>
        <w:spacing w:after="60" w:line="240" w:lineRule="auto"/>
        <w:ind w:left="259" w:hanging="259"/>
      </w:pPr>
      <w:r>
        <w:rPr>
          <w:rFonts w:ascii="Aptos" w:hAnsi="Aptos"/>
          <w:b/>
          <w:sz w:val="15"/>
        </w:rPr>
        <w:t xml:space="preserve">38  KSI High School Sports Safety Policies Maryland. </w:t>
      </w:r>
      <w:r>
        <w:rPr>
          <w:rFonts w:ascii="Aptos" w:hAnsi="Aptos"/>
          <w:sz w:val="15"/>
        </w:rPr>
        <w:t xml:space="preserve">Maryland Public Secondary Schools Athletic Association. KSI baseline reviewed 2026. Association or local policy. </w:t>
      </w:r>
      <w:hyperlink r:id="rId52">
        <w:r>
          <w:rPr>
            <w:color w:val="1F4E79"/>
            <w:u w:val="single"/>
          </w:rPr>
          <w:t>https://koreystringer.institute.uconn.edu/hsssp-maryland/</w:t>
        </w:r>
      </w:hyperlink>
    </w:p>
    <w:p>
      <w:pPr>
        <w:spacing w:after="60" w:line="240" w:lineRule="auto"/>
        <w:ind w:left="259" w:hanging="259"/>
      </w:pPr>
      <w:r>
        <w:rPr>
          <w:rFonts w:ascii="Aptos" w:hAnsi="Aptos"/>
          <w:b/>
          <w:sz w:val="15"/>
        </w:rPr>
        <w:t xml:space="preserve">39  MIAA Heat Modification Policy. </w:t>
      </w:r>
      <w:r>
        <w:rPr>
          <w:rFonts w:ascii="Aptos" w:hAnsi="Aptos"/>
          <w:sz w:val="15"/>
        </w:rPr>
        <w:t xml:space="preserve">Massachusetts Interscholastic Athletic Association. Policy amended September 2022 and current. Association rule. </w:t>
      </w:r>
      <w:hyperlink r:id="rId53">
        <w:r>
          <w:rPr>
            <w:color w:val="1F4E79"/>
            <w:u w:val="single"/>
          </w:rPr>
          <w:t>https://www.miaa.net/sites/default/files/2024-06/miaa-heat-modification-policy-081821-amended-9-1-22cb.pdf</w:t>
        </w:r>
      </w:hyperlink>
    </w:p>
    <w:p>
      <w:pPr>
        <w:spacing w:after="60" w:line="240" w:lineRule="auto"/>
        <w:ind w:left="259" w:hanging="259"/>
      </w:pPr>
      <w:r>
        <w:rPr>
          <w:rFonts w:ascii="Aptos" w:hAnsi="Aptos"/>
          <w:b/>
          <w:sz w:val="15"/>
        </w:rPr>
        <w:t xml:space="preserve">40  KSI High School Sports Safety Policies Michigan. </w:t>
      </w:r>
      <w:r>
        <w:rPr>
          <w:rFonts w:ascii="Aptos" w:hAnsi="Aptos"/>
          <w:sz w:val="15"/>
        </w:rPr>
        <w:t xml:space="preserve">Michigan High School Athletic Association. KSI baseline reviewed 2026. Association or local policy. </w:t>
      </w:r>
      <w:hyperlink r:id="rId54">
        <w:r>
          <w:rPr>
            <w:color w:val="1F4E79"/>
            <w:u w:val="single"/>
          </w:rPr>
          <w:t>https://koreystringer.institute.uconn.edu/hsssp-michigan/</w:t>
        </w:r>
      </w:hyperlink>
    </w:p>
    <w:p>
      <w:pPr>
        <w:spacing w:after="60" w:line="240" w:lineRule="auto"/>
        <w:ind w:left="259" w:hanging="259"/>
      </w:pPr>
      <w:r>
        <w:rPr>
          <w:rFonts w:ascii="Aptos" w:hAnsi="Aptos"/>
          <w:b/>
          <w:sz w:val="15"/>
        </w:rPr>
        <w:t xml:space="preserve">41  Minnesota Extreme Heat Toolkit. </w:t>
      </w:r>
      <w:r>
        <w:rPr>
          <w:rFonts w:ascii="Aptos" w:hAnsi="Aptos"/>
          <w:sz w:val="15"/>
        </w:rPr>
        <w:t xml:space="preserve">Minnesota State High School League. Current league and state toolkit references reviewed 2026. Association rule. </w:t>
      </w:r>
      <w:hyperlink r:id="rId55">
        <w:r>
          <w:rPr>
            <w:color w:val="1F4E79"/>
            <w:u w:val="single"/>
          </w:rPr>
          <w:t>https://www.health.state.mn.us/communities/environment/climate/docs/mnextremeheattoolkit.pdf</w:t>
        </w:r>
      </w:hyperlink>
    </w:p>
    <w:p>
      <w:pPr>
        <w:spacing w:after="60" w:line="240" w:lineRule="auto"/>
        <w:ind w:left="259" w:hanging="259"/>
      </w:pPr>
      <w:r>
        <w:rPr>
          <w:rFonts w:ascii="Aptos" w:hAnsi="Aptos"/>
          <w:b/>
          <w:sz w:val="15"/>
        </w:rPr>
        <w:t xml:space="preserve">42  MHSAA Using WBGT to Modify Activities. </w:t>
      </w:r>
      <w:r>
        <w:rPr>
          <w:rFonts w:ascii="Aptos" w:hAnsi="Aptos"/>
          <w:sz w:val="15"/>
        </w:rPr>
        <w:t xml:space="preserve">Mississippi High School Activities Association. 2026 mandate. Association rule. </w:t>
      </w:r>
      <w:hyperlink r:id="rId56">
        <w:r>
          <w:rPr>
            <w:color w:val="1F4E79"/>
            <w:u w:val="single"/>
          </w:rPr>
          <w:t>https://www.misshsaa.com/2026/07/13/using-wbg-to-modify-activities/</w:t>
        </w:r>
      </w:hyperlink>
    </w:p>
    <w:p>
      <w:pPr>
        <w:spacing w:after="60" w:line="240" w:lineRule="auto"/>
        <w:ind w:left="259" w:hanging="259"/>
      </w:pPr>
      <w:r>
        <w:rPr>
          <w:rFonts w:ascii="Aptos" w:hAnsi="Aptos"/>
          <w:b/>
          <w:sz w:val="15"/>
        </w:rPr>
        <w:t xml:space="preserve">43  MSHSAA WBGT Guidance. </w:t>
      </w:r>
      <w:r>
        <w:rPr>
          <w:rFonts w:ascii="Aptos" w:hAnsi="Aptos"/>
          <w:sz w:val="15"/>
        </w:rPr>
        <w:t xml:space="preserve">Missouri State High School Activities Association. Current MSHSAA guidance reviewed 2026. Association guidance. </w:t>
      </w:r>
      <w:hyperlink r:id="rId57">
        <w:r>
          <w:rPr>
            <w:color w:val="1F4E79"/>
            <w:u w:val="single"/>
          </w:rPr>
          <w:t>https://www.mshsaa.org/cmspages/wbgt.aspx</w:t>
        </w:r>
      </w:hyperlink>
    </w:p>
    <w:p>
      <w:pPr>
        <w:spacing w:after="60" w:line="240" w:lineRule="auto"/>
        <w:ind w:left="259" w:hanging="259"/>
      </w:pPr>
      <w:r>
        <w:rPr>
          <w:rFonts w:ascii="Aptos" w:hAnsi="Aptos"/>
          <w:b/>
          <w:sz w:val="15"/>
        </w:rPr>
        <w:t xml:space="preserve">44  KSI High School Sports Safety Policies Montana. </w:t>
      </w:r>
      <w:r>
        <w:rPr>
          <w:rFonts w:ascii="Aptos" w:hAnsi="Aptos"/>
          <w:sz w:val="15"/>
        </w:rPr>
        <w:t xml:space="preserve">Montana High School Association. KSI baseline reviewed 2026. Association or local policy. </w:t>
      </w:r>
      <w:hyperlink r:id="rId58">
        <w:r>
          <w:rPr>
            <w:color w:val="1F4E79"/>
            <w:u w:val="single"/>
          </w:rPr>
          <w:t>https://koreystringer.institute.uconn.edu/hsssp-montana/</w:t>
        </w:r>
      </w:hyperlink>
    </w:p>
    <w:p>
      <w:pPr>
        <w:spacing w:after="60" w:line="240" w:lineRule="auto"/>
        <w:ind w:left="259" w:hanging="259"/>
      </w:pPr>
      <w:r>
        <w:rPr>
          <w:rFonts w:ascii="Aptos" w:hAnsi="Aptos"/>
          <w:b/>
          <w:sz w:val="15"/>
        </w:rPr>
        <w:t xml:space="preserve">45  KSI High School Sports Safety Policies Nebraska. </w:t>
      </w:r>
      <w:r>
        <w:rPr>
          <w:rFonts w:ascii="Aptos" w:hAnsi="Aptos"/>
          <w:sz w:val="15"/>
        </w:rPr>
        <w:t xml:space="preserve">Nebraska School Activities Association. KSI baseline reviewed 2026. Association or local policy. </w:t>
      </w:r>
      <w:hyperlink r:id="rId59">
        <w:r>
          <w:rPr>
            <w:color w:val="1F4E79"/>
            <w:u w:val="single"/>
          </w:rPr>
          <w:t>https://koreystringer.institute.uconn.edu/hsssp-nebraska/</w:t>
        </w:r>
      </w:hyperlink>
    </w:p>
    <w:p>
      <w:pPr>
        <w:spacing w:after="60" w:line="240" w:lineRule="auto"/>
        <w:ind w:left="259" w:hanging="259"/>
      </w:pPr>
      <w:r>
        <w:rPr>
          <w:rFonts w:ascii="Aptos" w:hAnsi="Aptos"/>
          <w:b/>
          <w:sz w:val="15"/>
        </w:rPr>
        <w:t xml:space="preserve">46  KSI High School Sports Safety Policies Nevada. </w:t>
      </w:r>
      <w:r>
        <w:rPr>
          <w:rFonts w:ascii="Aptos" w:hAnsi="Aptos"/>
          <w:sz w:val="15"/>
        </w:rPr>
        <w:t xml:space="preserve">Nevada Interscholastic Activities Association. KSI baseline reviewed 2026. Association rule. </w:t>
      </w:r>
      <w:hyperlink r:id="rId60">
        <w:r>
          <w:rPr>
            <w:color w:val="1F4E79"/>
            <w:u w:val="single"/>
          </w:rPr>
          <w:t>https://koreystringer.institute.uconn.edu/hsssp-nevada/</w:t>
        </w:r>
      </w:hyperlink>
    </w:p>
    <w:p>
      <w:pPr>
        <w:spacing w:after="60" w:line="240" w:lineRule="auto"/>
        <w:ind w:left="259" w:hanging="259"/>
      </w:pPr>
      <w:r>
        <w:rPr>
          <w:rFonts w:ascii="Aptos" w:hAnsi="Aptos"/>
          <w:b/>
          <w:sz w:val="15"/>
        </w:rPr>
        <w:t xml:space="preserve">47  NHIAA Sports Medicine Handbook 2025-26. </w:t>
      </w:r>
      <w:r>
        <w:rPr>
          <w:rFonts w:ascii="Aptos" w:hAnsi="Aptos"/>
          <w:sz w:val="15"/>
        </w:rPr>
        <w:t xml:space="preserve">New Hampshire Interscholastic Athletic Association. 2025-26 handbook. Association rule and guidance. </w:t>
      </w:r>
      <w:hyperlink r:id="rId61">
        <w:r>
          <w:rPr>
            <w:color w:val="1F4E79"/>
            <w:u w:val="single"/>
          </w:rPr>
          <w:t>https://www.nhiaa.org/ckfinder/userfiles/files/5HB%2025-26%20%20III%20Sports%20Medicine.pdf</w:t>
        </w:r>
      </w:hyperlink>
    </w:p>
    <w:p>
      <w:pPr>
        <w:spacing w:after="60" w:line="240" w:lineRule="auto"/>
        <w:ind w:left="259" w:hanging="259"/>
      </w:pPr>
      <w:r>
        <w:rPr>
          <w:rFonts w:ascii="Aptos" w:hAnsi="Aptos"/>
          <w:b/>
          <w:sz w:val="15"/>
        </w:rPr>
        <w:t xml:space="preserve">48  NMAA Heat Illness Prevention Protocol. </w:t>
      </w:r>
      <w:r>
        <w:rPr>
          <w:rFonts w:ascii="Aptos" w:hAnsi="Aptos"/>
          <w:sz w:val="15"/>
        </w:rPr>
        <w:t xml:space="preserve">New Mexico Activities Association. Updated August 2025. Association rule. </w:t>
      </w:r>
      <w:hyperlink r:id="rId62">
        <w:r>
          <w:rPr>
            <w:color w:val="1F4E79"/>
            <w:u w:val="single"/>
          </w:rPr>
          <w:t>https://www.nmact.org/2025/08/nmaa-heat-illness-prevention-protocol-2/</w:t>
        </w:r>
      </w:hyperlink>
    </w:p>
    <w:p>
      <w:pPr>
        <w:spacing w:after="60" w:line="240" w:lineRule="auto"/>
        <w:ind w:left="259" w:hanging="259"/>
      </w:pPr>
      <w:r>
        <w:rPr>
          <w:rFonts w:ascii="Aptos" w:hAnsi="Aptos"/>
          <w:b/>
          <w:sz w:val="15"/>
        </w:rPr>
        <w:t xml:space="preserve">49  KSI High School Sports Safety Policies New York. </w:t>
      </w:r>
      <w:r>
        <w:rPr>
          <w:rFonts w:ascii="Aptos" w:hAnsi="Aptos"/>
          <w:sz w:val="15"/>
        </w:rPr>
        <w:t xml:space="preserve">New York State Public High School Athletic Association. KSI baseline reviewed 2026. Association rule. </w:t>
      </w:r>
      <w:hyperlink r:id="rId63">
        <w:r>
          <w:rPr>
            <w:color w:val="1F4E79"/>
            <w:u w:val="single"/>
          </w:rPr>
          <w:t>https://koreystringer.institute.uconn.edu/hsssp-new-york/</w:t>
        </w:r>
      </w:hyperlink>
    </w:p>
    <w:p>
      <w:pPr>
        <w:spacing w:after="60" w:line="240" w:lineRule="auto"/>
        <w:ind w:left="259" w:hanging="259"/>
      </w:pPr>
      <w:r>
        <w:rPr>
          <w:rFonts w:ascii="Aptos" w:hAnsi="Aptos"/>
          <w:b/>
          <w:sz w:val="15"/>
        </w:rPr>
        <w:t xml:space="preserve">50  NCHSAA Handbook 2025-26. </w:t>
      </w:r>
      <w:r>
        <w:rPr>
          <w:rFonts w:ascii="Aptos" w:hAnsi="Aptos"/>
          <w:sz w:val="15"/>
        </w:rPr>
        <w:t xml:space="preserve">North Carolina High School Athletic Association. 2025-26 handbook. Association rule. </w:t>
      </w:r>
      <w:hyperlink r:id="rId64">
        <w:r>
          <w:rPr>
            <w:color w:val="1F4E79"/>
            <w:u w:val="single"/>
          </w:rPr>
          <w:t>https://www.nchsaa.org/wp-content/uploads/2025/08/25-26-NCHSAA-Handbook-black-letter-3-827.pdf</w:t>
        </w:r>
      </w:hyperlink>
    </w:p>
    <w:p>
      <w:pPr>
        <w:spacing w:after="60" w:line="240" w:lineRule="auto"/>
        <w:ind w:left="259" w:hanging="259"/>
      </w:pPr>
      <w:r>
        <w:rPr>
          <w:rFonts w:ascii="Aptos" w:hAnsi="Aptos"/>
          <w:b/>
          <w:sz w:val="15"/>
        </w:rPr>
        <w:t xml:space="preserve">51  KSI High School Sports Safety Policies North Dakota. </w:t>
      </w:r>
      <w:r>
        <w:rPr>
          <w:rFonts w:ascii="Aptos" w:hAnsi="Aptos"/>
          <w:sz w:val="15"/>
        </w:rPr>
        <w:t xml:space="preserve">North Dakota High School Activities Association. KSI baseline reviewed 2026. Association or local policy. </w:t>
      </w:r>
      <w:hyperlink r:id="rId65">
        <w:r>
          <w:rPr>
            <w:color w:val="1F4E79"/>
            <w:u w:val="single"/>
          </w:rPr>
          <w:t>https://koreystringer.institute.uconn.edu/hsssp-north-dakota/</w:t>
        </w:r>
      </w:hyperlink>
    </w:p>
    <w:p>
      <w:pPr>
        <w:spacing w:after="60" w:line="240" w:lineRule="auto"/>
        <w:ind w:left="259" w:hanging="259"/>
      </w:pPr>
      <w:r>
        <w:rPr>
          <w:rFonts w:ascii="Aptos" w:hAnsi="Aptos"/>
          <w:b/>
          <w:sz w:val="15"/>
        </w:rPr>
        <w:t xml:space="preserve">52  KSI High School Sports Safety Policies Ohio. </w:t>
      </w:r>
      <w:r>
        <w:rPr>
          <w:rFonts w:ascii="Aptos" w:hAnsi="Aptos"/>
          <w:sz w:val="15"/>
        </w:rPr>
        <w:t xml:space="preserve">Ohio High School Athletic Association. KSI baseline reviewed 2026. Association or local policy. </w:t>
      </w:r>
      <w:hyperlink r:id="rId66">
        <w:r>
          <w:rPr>
            <w:color w:val="1F4E79"/>
            <w:u w:val="single"/>
          </w:rPr>
          <w:t>https://koreystringer.institute.uconn.edu/hsssp-ohio/</w:t>
        </w:r>
      </w:hyperlink>
    </w:p>
    <w:p>
      <w:pPr>
        <w:spacing w:after="60" w:line="240" w:lineRule="auto"/>
        <w:ind w:left="259" w:hanging="259"/>
      </w:pPr>
      <w:r>
        <w:rPr>
          <w:rFonts w:ascii="Aptos" w:hAnsi="Aptos"/>
          <w:b/>
          <w:sz w:val="15"/>
        </w:rPr>
        <w:t xml:space="preserve">53  KSI High School Sports Safety Policies Oklahoma. </w:t>
      </w:r>
      <w:r>
        <w:rPr>
          <w:rFonts w:ascii="Aptos" w:hAnsi="Aptos"/>
          <w:sz w:val="15"/>
        </w:rPr>
        <w:t xml:space="preserve">Oklahoma Secondary School Activities Association. KSI baseline reviewed 2026. Association rule. </w:t>
      </w:r>
      <w:hyperlink r:id="rId67">
        <w:r>
          <w:rPr>
            <w:color w:val="1F4E79"/>
            <w:u w:val="single"/>
          </w:rPr>
          <w:t>https://koreystringer.institute.uconn.edu/hsssp-oklahoma/</w:t>
        </w:r>
      </w:hyperlink>
    </w:p>
    <w:p>
      <w:pPr>
        <w:spacing w:after="60" w:line="240" w:lineRule="auto"/>
        <w:ind w:left="259" w:hanging="259"/>
      </w:pPr>
      <w:r>
        <w:rPr>
          <w:rFonts w:ascii="Aptos" w:hAnsi="Aptos"/>
          <w:b/>
          <w:sz w:val="15"/>
        </w:rPr>
        <w:t xml:space="preserve">54  KSI High School Sports Safety Policies Oregon. </w:t>
      </w:r>
      <w:r>
        <w:rPr>
          <w:rFonts w:ascii="Aptos" w:hAnsi="Aptos"/>
          <w:sz w:val="15"/>
        </w:rPr>
        <w:t xml:space="preserve">Oregon School Activities Association. KSI baseline reviewed 2026. Association rule. </w:t>
      </w:r>
      <w:hyperlink r:id="rId68">
        <w:r>
          <w:rPr>
            <w:color w:val="1F4E79"/>
            <w:u w:val="single"/>
          </w:rPr>
          <w:t>https://koreystringer.institute.uconn.edu/hsssp-oregon/</w:t>
        </w:r>
      </w:hyperlink>
    </w:p>
    <w:p>
      <w:pPr>
        <w:spacing w:after="60" w:line="240" w:lineRule="auto"/>
        <w:ind w:left="259" w:hanging="259"/>
      </w:pPr>
      <w:r>
        <w:rPr>
          <w:rFonts w:ascii="Aptos" w:hAnsi="Aptos"/>
          <w:b/>
          <w:sz w:val="15"/>
        </w:rPr>
        <w:t xml:space="preserve">55  KSI High School Sports Safety Policies Pennsylvania. </w:t>
      </w:r>
      <w:r>
        <w:rPr>
          <w:rFonts w:ascii="Aptos" w:hAnsi="Aptos"/>
          <w:sz w:val="15"/>
        </w:rPr>
        <w:t xml:space="preserve">Pennsylvania Interscholastic Athletic Association. KSI baseline reviewed 2026. Association or local policy. </w:t>
      </w:r>
      <w:hyperlink r:id="rId69">
        <w:r>
          <w:rPr>
            <w:color w:val="1F4E79"/>
            <w:u w:val="single"/>
          </w:rPr>
          <w:t>https://koreystringer.institute.uconn.edu/hsssp-pennsylvania/</w:t>
        </w:r>
      </w:hyperlink>
    </w:p>
    <w:p>
      <w:pPr>
        <w:spacing w:after="60" w:line="240" w:lineRule="auto"/>
        <w:ind w:left="259" w:hanging="259"/>
      </w:pPr>
      <w:r>
        <w:rPr>
          <w:rFonts w:ascii="Aptos" w:hAnsi="Aptos"/>
          <w:b/>
          <w:sz w:val="15"/>
        </w:rPr>
        <w:t xml:space="preserve">56  RIIL Rules and Regulations 2025-26. </w:t>
      </w:r>
      <w:r>
        <w:rPr>
          <w:rFonts w:ascii="Aptos" w:hAnsi="Aptos"/>
          <w:sz w:val="15"/>
        </w:rPr>
        <w:t xml:space="preserve">Rhode Island Interscholastic League. 2025-26 rules. Association rule. </w:t>
      </w:r>
      <w:hyperlink r:id="rId70">
        <w:r>
          <w:rPr>
            <w:color w:val="1F4E79"/>
            <w:u w:val="single"/>
          </w:rPr>
          <w:t>https://riil.org/resources/Inside%20the%20RIIL/RIIL%20Rules%20and%20Regulations.pdf</w:t>
        </w:r>
      </w:hyperlink>
    </w:p>
    <w:p>
      <w:pPr>
        <w:spacing w:after="60" w:line="240" w:lineRule="auto"/>
        <w:ind w:left="259" w:hanging="259"/>
      </w:pPr>
      <w:r>
        <w:rPr>
          <w:rFonts w:ascii="Aptos" w:hAnsi="Aptos"/>
          <w:b/>
          <w:sz w:val="15"/>
        </w:rPr>
        <w:t xml:space="preserve">57  SCHSL 2026-27 Rules Section. </w:t>
      </w:r>
      <w:r>
        <w:rPr>
          <w:rFonts w:ascii="Aptos" w:hAnsi="Aptos"/>
          <w:sz w:val="15"/>
        </w:rPr>
        <w:t xml:space="preserve">South Carolina High School League. 2026-27 rules. Association rule. </w:t>
      </w:r>
      <w:hyperlink r:id="rId71">
        <w:r>
          <w:rPr>
            <w:color w:val="1F4E79"/>
            <w:u w:val="single"/>
          </w:rPr>
          <w:t>https://schsl.org/wp-content/uploads/2026/07/2026-27-Rules-Section.docx.pdf</w:t>
        </w:r>
      </w:hyperlink>
    </w:p>
    <w:p>
      <w:pPr>
        <w:spacing w:after="60" w:line="240" w:lineRule="auto"/>
        <w:ind w:left="259" w:hanging="259"/>
      </w:pPr>
      <w:r>
        <w:rPr>
          <w:rFonts w:ascii="Aptos" w:hAnsi="Aptos"/>
          <w:b/>
          <w:sz w:val="15"/>
        </w:rPr>
        <w:t xml:space="preserve">58  KSI High School Sports Safety Policies South Dakota. </w:t>
      </w:r>
      <w:r>
        <w:rPr>
          <w:rFonts w:ascii="Aptos" w:hAnsi="Aptos"/>
          <w:sz w:val="15"/>
        </w:rPr>
        <w:t xml:space="preserve">South Dakota High School Activities Association. KSI baseline reviewed 2026. Association or local policy. </w:t>
      </w:r>
      <w:hyperlink r:id="rId72">
        <w:r>
          <w:rPr>
            <w:color w:val="1F4E79"/>
            <w:u w:val="single"/>
          </w:rPr>
          <w:t>https://koreystringer.institute.uconn.edu/hsssp-south-dakota/</w:t>
        </w:r>
      </w:hyperlink>
    </w:p>
    <w:p>
      <w:pPr>
        <w:spacing w:after="60" w:line="240" w:lineRule="auto"/>
        <w:ind w:left="259" w:hanging="259"/>
      </w:pPr>
      <w:r>
        <w:rPr>
          <w:rFonts w:ascii="Aptos" w:hAnsi="Aptos"/>
          <w:b/>
          <w:sz w:val="15"/>
        </w:rPr>
        <w:t xml:space="preserve">59  TSSAA Heat Policy. </w:t>
      </w:r>
      <w:r>
        <w:rPr>
          <w:rFonts w:ascii="Aptos" w:hAnsi="Aptos"/>
          <w:sz w:val="15"/>
        </w:rPr>
        <w:t xml:space="preserve">Tennessee Secondary School Athletic Association. Current TSSAA heat policy. Association rule. </w:t>
      </w:r>
      <w:hyperlink r:id="rId73">
        <w:r>
          <w:rPr>
            <w:color w:val="1F4E79"/>
            <w:u w:val="single"/>
          </w:rPr>
          <w:t>https://cms-files.tssaa.org/documents/tssaa/health-safety-information/2021-22TSSAAHeatPolicy.pdf</w:t>
        </w:r>
      </w:hyperlink>
    </w:p>
    <w:p>
      <w:pPr>
        <w:spacing w:after="60" w:line="240" w:lineRule="auto"/>
        <w:ind w:left="259" w:hanging="259"/>
      </w:pPr>
      <w:r>
        <w:rPr>
          <w:rFonts w:ascii="Aptos" w:hAnsi="Aptos"/>
          <w:b/>
          <w:sz w:val="15"/>
        </w:rPr>
        <w:t xml:space="preserve">60  UIL Heat Stress and Athletic Participation. </w:t>
      </w:r>
      <w:r>
        <w:rPr>
          <w:rFonts w:ascii="Aptos" w:hAnsi="Aptos"/>
          <w:sz w:val="15"/>
        </w:rPr>
        <w:t xml:space="preserve">University Interscholastic League. August 1 2026. Association rule. </w:t>
      </w:r>
      <w:hyperlink r:id="rId74">
        <w:r>
          <w:rPr>
            <w:color w:val="1F4E79"/>
            <w:u w:val="single"/>
          </w:rPr>
          <w:t>https://wwwprod.uiltexas.org/health/info/heat-stress-and-athletic-participation</w:t>
        </w:r>
      </w:hyperlink>
    </w:p>
    <w:p>
      <w:pPr>
        <w:spacing w:after="60" w:line="240" w:lineRule="auto"/>
        <w:ind w:left="259" w:hanging="259"/>
      </w:pPr>
      <w:r>
        <w:rPr>
          <w:rFonts w:ascii="Aptos" w:hAnsi="Aptos"/>
          <w:b/>
          <w:sz w:val="15"/>
        </w:rPr>
        <w:t xml:space="preserve">61  UHSAA Handbook 2025-26. </w:t>
      </w:r>
      <w:r>
        <w:rPr>
          <w:rFonts w:ascii="Aptos" w:hAnsi="Aptos"/>
          <w:sz w:val="15"/>
        </w:rPr>
        <w:t xml:space="preserve">Utah High School Activities Association. 2025-26 handbook and current sports-medicine materials. Association guidance and acclimatization rule. </w:t>
      </w:r>
      <w:hyperlink r:id="rId75">
        <w:r>
          <w:rPr>
            <w:color w:val="1F4E79"/>
            <w:u w:val="single"/>
          </w:rPr>
          <w:t>https://www.uhsaa.org/Publications/Handbook/Handbook.pdf</w:t>
        </w:r>
      </w:hyperlink>
    </w:p>
    <w:p>
      <w:pPr>
        <w:spacing w:after="60" w:line="240" w:lineRule="auto"/>
        <w:ind w:left="259" w:hanging="259"/>
      </w:pPr>
      <w:r>
        <w:rPr>
          <w:rFonts w:ascii="Aptos" w:hAnsi="Aptos"/>
          <w:b/>
          <w:sz w:val="15"/>
        </w:rPr>
        <w:t xml:space="preserve">62  VPA Athletics Activities Policy 2026. </w:t>
      </w:r>
      <w:r>
        <w:rPr>
          <w:rFonts w:ascii="Aptos" w:hAnsi="Aptos"/>
          <w:sz w:val="15"/>
        </w:rPr>
        <w:t xml:space="preserve">Vermont Principals Association. Policy submitted to legislature March 2026. Association rule and guidance. </w:t>
      </w:r>
      <w:hyperlink r:id="rId76">
        <w:r>
          <w:rPr>
            <w:color w:val="1F4E79"/>
            <w:u w:val="single"/>
          </w:rPr>
          <w:t>https://legislature.vermont.gov/Documents/2026/Workgroups/House%20General/Bills/S.230/Witness%20Documents/S.230~Nancy%20Wiese~VPA%20Policy%20and%20Procedures%20-%20Athletics-Activities~3-31-2026.pdf</w:t>
        </w:r>
      </w:hyperlink>
    </w:p>
    <w:p>
      <w:pPr>
        <w:spacing w:after="60" w:line="240" w:lineRule="auto"/>
        <w:ind w:left="259" w:hanging="259"/>
      </w:pPr>
      <w:r>
        <w:rPr>
          <w:rFonts w:ascii="Aptos" w:hAnsi="Aptos"/>
          <w:b/>
          <w:sz w:val="15"/>
        </w:rPr>
        <w:t xml:space="preserve">63  WIAA Health and Wellness. </w:t>
      </w:r>
      <w:r>
        <w:rPr>
          <w:rFonts w:ascii="Aptos" w:hAnsi="Aptos"/>
          <w:sz w:val="15"/>
        </w:rPr>
        <w:t xml:space="preserve">Washington Interscholastic Activities Association. Current WIAA health materials reviewed 2026. Association rule. </w:t>
      </w:r>
      <w:hyperlink r:id="rId77">
        <w:r>
          <w:rPr>
            <w:color w:val="1F4E79"/>
            <w:u w:val="single"/>
          </w:rPr>
          <w:t>https://www.wiaa.com/health-wellness/</w:t>
        </w:r>
      </w:hyperlink>
    </w:p>
    <w:p>
      <w:pPr>
        <w:spacing w:after="60" w:line="240" w:lineRule="auto"/>
        <w:ind w:left="259" w:hanging="259"/>
      </w:pPr>
      <w:r>
        <w:rPr>
          <w:rFonts w:ascii="Aptos" w:hAnsi="Aptos"/>
          <w:b/>
          <w:sz w:val="15"/>
        </w:rPr>
        <w:t xml:space="preserve">64  WVSSAC Sports Medicine Packet 2025-26. </w:t>
      </w:r>
      <w:r>
        <w:rPr>
          <w:rFonts w:ascii="Aptos" w:hAnsi="Aptos"/>
          <w:sz w:val="15"/>
        </w:rPr>
        <w:t xml:space="preserve">West Virginia Secondary School Activities Commission. 2025-26 sports medicine packet. Association rule. </w:t>
      </w:r>
      <w:hyperlink r:id="rId78">
        <w:r>
          <w:rPr>
            <w:color w:val="1F4E79"/>
            <w:u w:val="single"/>
          </w:rPr>
          <w:t>https://www.wvssac.org/wp-content/uploads/2025/08/Sports-Medicine-Packet-25-26.pdf</w:t>
        </w:r>
      </w:hyperlink>
    </w:p>
    <w:p>
      <w:pPr>
        <w:spacing w:after="60" w:line="240" w:lineRule="auto"/>
        <w:ind w:left="259" w:hanging="259"/>
      </w:pPr>
      <w:r>
        <w:rPr>
          <w:rFonts w:ascii="Aptos" w:hAnsi="Aptos"/>
          <w:b/>
          <w:sz w:val="15"/>
        </w:rPr>
        <w:t xml:space="preserve">65  KSI High School Sports Safety Policies Wisconsin. </w:t>
      </w:r>
      <w:r>
        <w:rPr>
          <w:rFonts w:ascii="Aptos" w:hAnsi="Aptos"/>
          <w:sz w:val="15"/>
        </w:rPr>
        <w:t xml:space="preserve">Wisconsin Interscholastic Athletic Association. KSI baseline reviewed 2026. Association or local policy. </w:t>
      </w:r>
      <w:hyperlink r:id="rId79">
        <w:r>
          <w:rPr>
            <w:color w:val="1F4E79"/>
            <w:u w:val="single"/>
          </w:rPr>
          <w:t>https://koreystringer.institute.uconn.edu/hsssp-wisconsin/</w:t>
        </w:r>
      </w:hyperlink>
    </w:p>
    <w:p>
      <w:pPr>
        <w:spacing w:after="60" w:line="240" w:lineRule="auto"/>
        <w:ind w:left="259" w:hanging="259"/>
      </w:pPr>
      <w:r>
        <w:rPr>
          <w:rFonts w:ascii="Aptos" w:hAnsi="Aptos"/>
          <w:b/>
          <w:sz w:val="15"/>
        </w:rPr>
        <w:t xml:space="preserve">66  KSI High School Sports Safety Policies Wyoming. </w:t>
      </w:r>
      <w:r>
        <w:rPr>
          <w:rFonts w:ascii="Aptos" w:hAnsi="Aptos"/>
          <w:sz w:val="15"/>
        </w:rPr>
        <w:t xml:space="preserve">Wyoming High School Activities Association. KSI baseline reviewed 2026. Association or local policy. </w:t>
      </w:r>
      <w:hyperlink r:id="rId80">
        <w:r>
          <w:rPr>
            <w:color w:val="1F4E79"/>
            <w:u w:val="single"/>
          </w:rPr>
          <w:t>https://koreystringer.institute.uconn.edu/hsssp-wyoming/</w:t>
        </w:r>
      </w:hyperlink>
    </w:p>
    <w:p>
      <w:pPr>
        <w:spacing w:after="60" w:line="240" w:lineRule="auto"/>
        <w:ind w:left="259" w:hanging="259"/>
      </w:pPr>
      <w:r>
        <w:rPr>
          <w:rFonts w:ascii="Aptos" w:hAnsi="Aptos"/>
          <w:b/>
          <w:sz w:val="15"/>
        </w:rPr>
        <w:t xml:space="preserve">67  USA Football Heat and Hydration. </w:t>
      </w:r>
      <w:r>
        <w:rPr>
          <w:rFonts w:ascii="Aptos" w:hAnsi="Aptos"/>
          <w:sz w:val="15"/>
        </w:rPr>
        <w:t xml:space="preserve">USA Football. Current source reviewed 2026-09-11. National governing body guidance. </w:t>
      </w:r>
      <w:hyperlink r:id="rId81">
        <w:r>
          <w:rPr>
            <w:color w:val="1F4E79"/>
            <w:u w:val="single"/>
          </w:rPr>
          <w:t>https://www.usafootball.com/health-safety/heat-hydration</w:t>
        </w:r>
      </w:hyperlink>
    </w:p>
    <w:p>
      <w:pPr>
        <w:spacing w:after="60" w:line="240" w:lineRule="auto"/>
        <w:ind w:left="259" w:hanging="259"/>
      </w:pPr>
      <w:r>
        <w:rPr>
          <w:rFonts w:ascii="Aptos" w:hAnsi="Aptos"/>
          <w:b/>
          <w:sz w:val="15"/>
        </w:rPr>
        <w:t xml:space="preserve">68  Little League Appendix E Heat Illness Prevention. </w:t>
      </w:r>
      <w:r>
        <w:rPr>
          <w:rFonts w:ascii="Aptos" w:hAnsi="Aptos"/>
          <w:sz w:val="15"/>
        </w:rPr>
        <w:t xml:space="preserve">Little League. Current source reviewed 2026-09-11. Safety guidance. </w:t>
      </w:r>
      <w:hyperlink r:id="rId82">
        <w:r>
          <w:rPr>
            <w:color w:val="1F4E79"/>
            <w:u w:val="single"/>
          </w:rPr>
          <w:t>https://www.littleleague.org/playing-rules/appendices/appendix-e/</w:t>
        </w:r>
      </w:hyperlink>
    </w:p>
    <w:p>
      <w:pPr>
        <w:spacing w:after="60" w:line="240" w:lineRule="auto"/>
        <w:ind w:left="259" w:hanging="259"/>
      </w:pPr>
      <w:r>
        <w:rPr>
          <w:rFonts w:ascii="Aptos" w:hAnsi="Aptos"/>
          <w:b/>
          <w:sz w:val="15"/>
        </w:rPr>
        <w:t xml:space="preserve">69  USA Rugby Player Welfare. </w:t>
      </w:r>
      <w:r>
        <w:rPr>
          <w:rFonts w:ascii="Aptos" w:hAnsi="Aptos"/>
          <w:sz w:val="15"/>
        </w:rPr>
        <w:t xml:space="preserve">USA Rugby. Current source reviewed 2026-09-11. Player-welfare guidance. </w:t>
      </w:r>
      <w:hyperlink r:id="rId83">
        <w:r>
          <w:rPr>
            <w:color w:val="1F4E79"/>
            <w:u w:val="single"/>
          </w:rPr>
          <w:t>https://usa.rugby/player-welfare</w:t>
        </w:r>
      </w:hyperlink>
    </w:p>
    <w:sectPr w:rsidR="00FC693F" w:rsidRPr="0006063C" w:rsidSect="00034616">
      <w:headerReference w:type="default" r:id="rId9"/>
      <w:headerReference w:type="even" r:id="rId10"/>
      <w:footerReference w:type="default" r:id="rId11"/>
      <w:footerReference w:type="even" r:id="rId12"/>
      <w:headerReference w:type="first" r:id="rId13"/>
      <w:footerReference w:type="first" r:id="rId14"/>
      <w:pgSz w:w="12240" w:h="15840"/>
      <w:pgMar w:top="936" w:right="1037" w:bottom="893" w:left="1037"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E6E6E"/>
        <w:sz w:val="16"/>
      </w:rPr>
    </w:r>
    <w:r>
      <w:t xml:space="preserve">September 2026    </w:t>
    </w: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E6E6E"/>
        <w:sz w:val="16"/>
      </w:rPr>
    </w:r>
    <w:r>
      <w:t xml:space="preserve">September 2026    </w:t>
    </w:r>
    <w:r>
      <w:fldChar w:fldCharType="begin"/>
      <w:instrText xml:space="preserve">PAGE</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rPr>
        <w:rFonts w:ascii="Aptos" w:hAnsi="Aptos"/>
        <w:color w:val="696969"/>
        <w:sz w:val="16"/>
      </w:rPr>
      <w:t>United States WBGT Heat Policy Landscape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jc w:val="left"/>
    </w:pPr>
    <w:r>
      <w:rPr>
        <w:rFonts w:ascii="Aptos" w:hAnsi="Aptos"/>
        <w:color w:val="696969"/>
        <w:sz w:val="16"/>
      </w:rPr>
      <w:t>United States WBGT Heat Policy Landscape</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color w:val="20202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ptos Display" w:hAnsi="Aptos Display"/>
      <w:b/>
      <w:bCs/>
      <w:color w:val="163149"/>
      <w:sz w:val="3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232323"/>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373737"/>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ptos Display" w:hAnsi="Aptos Display"/>
      <w:b/>
      <w:color w:val="121212"/>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rFonts w:asciiTheme="majorHAnsi" w:eastAsiaTheme="majorEastAsia" w:hAnsiTheme="majorHAnsi" w:cstheme="majorBidi" w:ascii="Aptos" w:hAnsi="Aptos"/>
      <w:i/>
      <w:iCs/>
      <w:color w:val="545454"/>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hyperlink" Target="https://assets.nfhs.org/umbraco/media/5919613/nfhs-heat-acclimatization-april-2022-final.pdf" TargetMode="External"/><Relationship Id="rId16" Type="http://schemas.openxmlformats.org/officeDocument/2006/relationships/hyperlink" Target="https://pmc.ncbi.nlm.nih.gov/articles/PMC8063664/" TargetMode="External"/><Relationship Id="rId17" Type="http://schemas.openxmlformats.org/officeDocument/2006/relationships/hyperlink" Target="https://pmc.ncbi.nlm.nih.gov/articles/PMC6795101/" TargetMode="External"/><Relationship Id="rId18" Type="http://schemas.openxmlformats.org/officeDocument/2006/relationships/hyperlink" Target="https://www.mdpi.com/1648-9144/56/10/486" TargetMode="External"/><Relationship Id="rId19" Type="http://schemas.openxmlformats.org/officeDocument/2006/relationships/hyperlink" Target="https://ncaaorg.s3.amazonaws.com/ssi/publications/SSI_SMHB.pdf" TargetMode="External"/><Relationship Id="rId20" Type="http://schemas.openxmlformats.org/officeDocument/2006/relationships/hyperlink" Target="https://ncaaorg.s3.amazonaws.com/championships/sports/soccer/rules/PRXSO_RulesBook.pdf" TargetMode="External"/><Relationship Id="rId21" Type="http://schemas.openxmlformats.org/officeDocument/2006/relationships/hyperlink" Target="https://www.weather.gov/arx/wbgt" TargetMode="External"/><Relationship Id="rId22" Type="http://schemas.openxmlformats.org/officeDocument/2006/relationships/hyperlink" Target="https://koreystringer.institute.uconn.edu/high-school-sports-safety-policies/" TargetMode="External"/><Relationship Id="rId23" Type="http://schemas.openxmlformats.org/officeDocument/2006/relationships/hyperlink" Target="https://apnews.com/article/2455ba5852d83f548754e44240abf99b" TargetMode="External"/><Relationship Id="rId24" Type="http://schemas.openxmlformats.org/officeDocument/2006/relationships/hyperlink" Target="https://leginfo.legislature.ca.gov/faces/billNavClient.xhtml?bill_id=202520260AB2503" TargetMode="External"/><Relationship Id="rId25" Type="http://schemas.openxmlformats.org/officeDocument/2006/relationships/hyperlink" Target="https://law.lis.virginia.gov/vacode/title22.1/chapter14/section22.1-271.10/" TargetMode="External"/><Relationship Id="rId26" Type="http://schemas.openxmlformats.org/officeDocument/2006/relationships/hyperlink" Target="https://pub.njleg.gov/bills/2018/PL19/293_.HTM" TargetMode="External"/><Relationship Id="rId27" Type="http://schemas.openxmlformats.org/officeDocument/2006/relationships/hyperlink" Target="https://www.leg.state.fl.us/Statutes/index.cfm?App_mode=Display_Statute&amp;URL=1000-1099/1006/1006.html" TargetMode="External"/><Relationship Id="rId28" Type="http://schemas.openxmlformats.org/officeDocument/2006/relationships/hyperlink" Target="https://cdn.sanity.io/files/oyf3dba6/production/f45720c82a0be4de712b55823cfe73dc6f0496d9.pdf" TargetMode="External"/><Relationship Id="rId29" Type="http://schemas.openxmlformats.org/officeDocument/2006/relationships/hyperlink" Target="https://usaultimate.org/wp-content/uploads/2025/07/Heat-and-Air-Quality-Guidelines-for-USA-Ultimate-Events-2025.pdf" TargetMode="External"/><Relationship Id="rId30" Type="http://schemas.openxmlformats.org/officeDocument/2006/relationships/hyperlink" Target="https://www.cdc.gov/niosh/heat-stress/recommendations/" TargetMode="External"/><Relationship Id="rId31" Type="http://schemas.openxmlformats.org/officeDocument/2006/relationships/hyperlink" Target="https://www.osha.gov/heat-exposure/rulemaking" TargetMode="External"/><Relationship Id="rId32" Type="http://schemas.openxmlformats.org/officeDocument/2006/relationships/hyperlink" Target="https://www.ahsaa.com/Portals/0/PDF%27s/AHSAA/Safety/2024%20HEAT%20INDEX%20EXERCISE%20RESTRICTIONS.pdf" TargetMode="External"/><Relationship Id="rId33" Type="http://schemas.openxmlformats.org/officeDocument/2006/relationships/hyperlink" Target="https://koreystringer.institute.uconn.edu/hsssp-alaska/" TargetMode="External"/><Relationship Id="rId34" Type="http://schemas.openxmlformats.org/officeDocument/2006/relationships/hyperlink" Target="https://aiaonline.org/files/18079/article-43-sports-medicine.pdf" TargetMode="External"/><Relationship Id="rId35" Type="http://schemas.openxmlformats.org/officeDocument/2006/relationships/hyperlink" Target="https://www.ahsaa.org/live_feeds/12843509" TargetMode="External"/><Relationship Id="rId36" Type="http://schemas.openxmlformats.org/officeDocument/2006/relationships/hyperlink" Target="https://cifss.org/wp-content/uploads/2025/09/2025-26-Blue-Book-Complete-9-29-25.pdf" TargetMode="External"/><Relationship Id="rId37" Type="http://schemas.openxmlformats.org/officeDocument/2006/relationships/hyperlink" Target="https://koreystringer.institute.uconn.edu/hsssp-colorado/" TargetMode="External"/><Relationship Id="rId38" Type="http://schemas.openxmlformats.org/officeDocument/2006/relationships/hyperlink" Target="https://koreystringer.institute.uconn.edu/hsssp-connecticut/" TargetMode="External"/><Relationship Id="rId39" Type="http://schemas.openxmlformats.org/officeDocument/2006/relationships/hyperlink" Target="https://koreystringer.institute.uconn.edu/hsssp-delaware/" TargetMode="External"/><Relationship Id="rId40" Type="http://schemas.openxmlformats.org/officeDocument/2006/relationships/hyperlink" Target="https://www.thedciaa.com/heat-acclimatization" TargetMode="External"/><Relationship Id="rId41" Type="http://schemas.openxmlformats.org/officeDocument/2006/relationships/hyperlink" Target="https://s3.amazonaws.com/fhsaa.org/documents/2025/2/22/2425_handbook_2_21_25.pdf" TargetMode="External"/><Relationship Id="rId42" Type="http://schemas.openxmlformats.org/officeDocument/2006/relationships/hyperlink" Target="https://www.ghsa.net/ghsa-practice-policy-heat-and-humidity" TargetMode="External"/><Relationship Id="rId43" Type="http://schemas.openxmlformats.org/officeDocument/2006/relationships/hyperlink" Target="https://hhsaa.org/assets/content/resources/governing_documents/Heat-Acclimatization-Revised-7-11-17.pdf" TargetMode="External"/><Relationship Id="rId44" Type="http://schemas.openxmlformats.org/officeDocument/2006/relationships/hyperlink" Target="https://koreystringer.institute.uconn.edu/hsssp-idaho/" TargetMode="External"/><Relationship Id="rId45" Type="http://schemas.openxmlformats.org/officeDocument/2006/relationships/hyperlink" Target="https://www.ihsa.org/documents/forms/2024-25/ASM%202024%20Mailing.pdf" TargetMode="External"/><Relationship Id="rId46" Type="http://schemas.openxmlformats.org/officeDocument/2006/relationships/hyperlink" Target="https://koreystringer.institute.uconn.edu/hsssp-indiana/" TargetMode="External"/><Relationship Id="rId47" Type="http://schemas.openxmlformats.org/officeDocument/2006/relationships/hyperlink" Target="https://www.iahsaa.org/wp-content/uploads/2024/09/WBGT-Heat-Modification-Policy.pdf" TargetMode="External"/><Relationship Id="rId48" Type="http://schemas.openxmlformats.org/officeDocument/2006/relationships/hyperlink" Target="https://www.kshsaa.org/Public/PDF/HeatPolicy-Current.pdf" TargetMode="External"/><Relationship Id="rId49" Type="http://schemas.openxmlformats.org/officeDocument/2006/relationships/hyperlink" Target="https://khsaa.org/common_documents/handbook/policies.pdf" TargetMode="External"/><Relationship Id="rId50" Type="http://schemas.openxmlformats.org/officeDocument/2006/relationships/hyperlink" Target="https://www.law.cornell.edu/regulations/louisiana/La-Admin-Code-tit-28-SS-CLVII-507" TargetMode="External"/><Relationship Id="rId51" Type="http://schemas.openxmlformats.org/officeDocument/2006/relationships/hyperlink" Target="https://koreystringer.institute.uconn.edu/hsssp-maine/" TargetMode="External"/><Relationship Id="rId52" Type="http://schemas.openxmlformats.org/officeDocument/2006/relationships/hyperlink" Target="https://koreystringer.institute.uconn.edu/hsssp-maryland/" TargetMode="External"/><Relationship Id="rId53" Type="http://schemas.openxmlformats.org/officeDocument/2006/relationships/hyperlink" Target="https://www.miaa.net/sites/default/files/2024-06/miaa-heat-modification-policy-081821-amended-9-1-22cb.pdf" TargetMode="External"/><Relationship Id="rId54" Type="http://schemas.openxmlformats.org/officeDocument/2006/relationships/hyperlink" Target="https://koreystringer.institute.uconn.edu/hsssp-michigan/" TargetMode="External"/><Relationship Id="rId55" Type="http://schemas.openxmlformats.org/officeDocument/2006/relationships/hyperlink" Target="https://www.health.state.mn.us/communities/environment/climate/docs/mnextremeheattoolkit.pdf" TargetMode="External"/><Relationship Id="rId56" Type="http://schemas.openxmlformats.org/officeDocument/2006/relationships/hyperlink" Target="https://www.misshsaa.com/2026/07/13/using-wbg-to-modify-activities/" TargetMode="External"/><Relationship Id="rId57" Type="http://schemas.openxmlformats.org/officeDocument/2006/relationships/hyperlink" Target="https://www.mshsaa.org/cmspages/wbgt.aspx" TargetMode="External"/><Relationship Id="rId58" Type="http://schemas.openxmlformats.org/officeDocument/2006/relationships/hyperlink" Target="https://koreystringer.institute.uconn.edu/hsssp-montana/" TargetMode="External"/><Relationship Id="rId59" Type="http://schemas.openxmlformats.org/officeDocument/2006/relationships/hyperlink" Target="https://koreystringer.institute.uconn.edu/hsssp-nebraska/" TargetMode="External"/><Relationship Id="rId60" Type="http://schemas.openxmlformats.org/officeDocument/2006/relationships/hyperlink" Target="https://koreystringer.institute.uconn.edu/hsssp-nevada/" TargetMode="External"/><Relationship Id="rId61" Type="http://schemas.openxmlformats.org/officeDocument/2006/relationships/hyperlink" Target="https://www.nhiaa.org/ckfinder/userfiles/files/5HB%2025-26%20%20III%20Sports%20Medicine.pdf" TargetMode="External"/><Relationship Id="rId62" Type="http://schemas.openxmlformats.org/officeDocument/2006/relationships/hyperlink" Target="https://www.nmact.org/2025/08/nmaa-heat-illness-prevention-protocol-2/" TargetMode="External"/><Relationship Id="rId63" Type="http://schemas.openxmlformats.org/officeDocument/2006/relationships/hyperlink" Target="https://koreystringer.institute.uconn.edu/hsssp-new-york/" TargetMode="External"/><Relationship Id="rId64" Type="http://schemas.openxmlformats.org/officeDocument/2006/relationships/hyperlink" Target="https://www.nchsaa.org/wp-content/uploads/2025/08/25-26-NCHSAA-Handbook-black-letter-3-827.pdf" TargetMode="External"/><Relationship Id="rId65" Type="http://schemas.openxmlformats.org/officeDocument/2006/relationships/hyperlink" Target="https://koreystringer.institute.uconn.edu/hsssp-north-dakota/" TargetMode="External"/><Relationship Id="rId66" Type="http://schemas.openxmlformats.org/officeDocument/2006/relationships/hyperlink" Target="https://koreystringer.institute.uconn.edu/hsssp-ohio/" TargetMode="External"/><Relationship Id="rId67" Type="http://schemas.openxmlformats.org/officeDocument/2006/relationships/hyperlink" Target="https://koreystringer.institute.uconn.edu/hsssp-oklahoma/" TargetMode="External"/><Relationship Id="rId68" Type="http://schemas.openxmlformats.org/officeDocument/2006/relationships/hyperlink" Target="https://koreystringer.institute.uconn.edu/hsssp-oregon/" TargetMode="External"/><Relationship Id="rId69" Type="http://schemas.openxmlformats.org/officeDocument/2006/relationships/hyperlink" Target="https://koreystringer.institute.uconn.edu/hsssp-pennsylvania/" TargetMode="External"/><Relationship Id="rId70" Type="http://schemas.openxmlformats.org/officeDocument/2006/relationships/hyperlink" Target="https://riil.org/resources/Inside%20the%20RIIL/RIIL%20Rules%20and%20Regulations.pdf" TargetMode="External"/><Relationship Id="rId71" Type="http://schemas.openxmlformats.org/officeDocument/2006/relationships/hyperlink" Target="https://schsl.org/wp-content/uploads/2026/07/2026-27-Rules-Section.docx.pdf" TargetMode="External"/><Relationship Id="rId72" Type="http://schemas.openxmlformats.org/officeDocument/2006/relationships/hyperlink" Target="https://koreystringer.institute.uconn.edu/hsssp-south-dakota/" TargetMode="External"/><Relationship Id="rId73" Type="http://schemas.openxmlformats.org/officeDocument/2006/relationships/hyperlink" Target="https://cms-files.tssaa.org/documents/tssaa/health-safety-information/2021-22TSSAAHeatPolicy.pdf" TargetMode="External"/><Relationship Id="rId74" Type="http://schemas.openxmlformats.org/officeDocument/2006/relationships/hyperlink" Target="https://wwwprod.uiltexas.org/health/info/heat-stress-and-athletic-participation" TargetMode="External"/><Relationship Id="rId75" Type="http://schemas.openxmlformats.org/officeDocument/2006/relationships/hyperlink" Target="https://www.uhsaa.org/Publications/Handbook/Handbook.pdf" TargetMode="External"/><Relationship Id="rId76" Type="http://schemas.openxmlformats.org/officeDocument/2006/relationships/hyperlink" Target="https://legislature.vermont.gov/Documents/2026/Workgroups/House%20General/Bills/S.230/Witness%20Documents/S.230~Nancy%20Wiese~VPA%20Policy%20and%20Procedures%20-%20Athletics-Activities~3-31-2026.pdf" TargetMode="External"/><Relationship Id="rId77" Type="http://schemas.openxmlformats.org/officeDocument/2006/relationships/hyperlink" Target="https://www.wiaa.com/health-wellness/" TargetMode="External"/><Relationship Id="rId78" Type="http://schemas.openxmlformats.org/officeDocument/2006/relationships/hyperlink" Target="https://www.wvssac.org/wp-content/uploads/2025/08/Sports-Medicine-Packet-25-26.pdf" TargetMode="External"/><Relationship Id="rId79" Type="http://schemas.openxmlformats.org/officeDocument/2006/relationships/hyperlink" Target="https://koreystringer.institute.uconn.edu/hsssp-wisconsin/" TargetMode="External"/><Relationship Id="rId80" Type="http://schemas.openxmlformats.org/officeDocument/2006/relationships/hyperlink" Target="https://koreystringer.institute.uconn.edu/hsssp-wyoming/" TargetMode="External"/><Relationship Id="rId81" Type="http://schemas.openxmlformats.org/officeDocument/2006/relationships/hyperlink" Target="https://www.usafootball.com/health-safety/heat-hydration" TargetMode="External"/><Relationship Id="rId82" Type="http://schemas.openxmlformats.org/officeDocument/2006/relationships/hyperlink" Target="https://www.littleleague.org/playing-rules/appendices/appendix-e/" TargetMode="External"/><Relationship Id="rId83" Type="http://schemas.openxmlformats.org/officeDocument/2006/relationships/hyperlink" Target="https://usa.rugby/player-welf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